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12" w:rsidRPr="00905CAC" w:rsidRDefault="00FB3C2F" w:rsidP="00FB3C2F">
      <w:pPr>
        <w:jc w:val="center"/>
        <w:rPr>
          <w:rFonts w:ascii="仿宋" w:eastAsia="仿宋" w:hAnsi="仿宋"/>
          <w:b/>
          <w:sz w:val="36"/>
          <w:szCs w:val="36"/>
        </w:rPr>
      </w:pPr>
      <w:r w:rsidRPr="00905CAC">
        <w:rPr>
          <w:rFonts w:ascii="仿宋" w:eastAsia="仿宋" w:hAnsi="仿宋" w:hint="eastAsia"/>
          <w:b/>
          <w:sz w:val="36"/>
          <w:szCs w:val="36"/>
        </w:rPr>
        <w:t>丹东市</w:t>
      </w:r>
      <w:r w:rsidR="00DD6512" w:rsidRPr="00905CAC">
        <w:rPr>
          <w:rFonts w:ascii="仿宋" w:eastAsia="仿宋" w:hAnsi="仿宋" w:hint="eastAsia"/>
          <w:b/>
          <w:sz w:val="36"/>
          <w:szCs w:val="36"/>
        </w:rPr>
        <w:t>保险行业协会</w:t>
      </w:r>
      <w:r w:rsidRPr="00905CAC">
        <w:rPr>
          <w:rFonts w:ascii="仿宋" w:eastAsia="仿宋" w:hAnsi="仿宋" w:hint="eastAsia"/>
          <w:b/>
          <w:sz w:val="36"/>
          <w:szCs w:val="36"/>
        </w:rPr>
        <w:t>2020年上半年</w:t>
      </w:r>
    </w:p>
    <w:p w:rsidR="00EB2C77" w:rsidRPr="00905CAC" w:rsidRDefault="00FB3C2F" w:rsidP="00FB3C2F">
      <w:pPr>
        <w:jc w:val="center"/>
        <w:rPr>
          <w:rFonts w:ascii="仿宋" w:eastAsia="仿宋" w:hAnsi="仿宋"/>
          <w:b/>
          <w:sz w:val="36"/>
          <w:szCs w:val="36"/>
        </w:rPr>
      </w:pPr>
      <w:r w:rsidRPr="00905CAC">
        <w:rPr>
          <w:rFonts w:ascii="仿宋" w:eastAsia="仿宋" w:hAnsi="仿宋" w:hint="eastAsia"/>
          <w:b/>
          <w:sz w:val="36"/>
          <w:szCs w:val="36"/>
        </w:rPr>
        <w:t>财险市场运行情况通报</w:t>
      </w:r>
    </w:p>
    <w:p w:rsidR="00FB3C2F" w:rsidRPr="00905CAC" w:rsidRDefault="00FB3C2F" w:rsidP="00905CA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05CAC">
        <w:rPr>
          <w:rFonts w:ascii="仿宋" w:eastAsia="仿宋" w:hAnsi="仿宋" w:hint="eastAsia"/>
          <w:b/>
          <w:sz w:val="32"/>
          <w:szCs w:val="32"/>
        </w:rPr>
        <w:t>一、市场整体运行情况</w:t>
      </w:r>
    </w:p>
    <w:p w:rsidR="00FB3C2F" w:rsidRDefault="00FB3C2F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上半年，全市20家财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累计实现保费收入83267万元，同比增加12453万元，增速17.59%，高于省均（14.11%）3.48个百分点，保费总量占全省4.58%，保费贡献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度全省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排名第9位（沈阳、鞍山、锦州、营口、铁岭、朝阳、盘锦、葫芦岛8家地市贡献度排名在前）。全地区已决案件45214件，累计赔款支出29505万元 。</w:t>
      </w:r>
    </w:p>
    <w:p w:rsidR="00FB3C2F" w:rsidRDefault="00FB3C2F" w:rsidP="00FB3C2F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FB3C2F">
        <w:rPr>
          <w:rFonts w:ascii="仿宋" w:eastAsia="仿宋" w:hAnsi="仿宋" w:hint="eastAsia"/>
          <w:b/>
          <w:bCs/>
          <w:sz w:val="32"/>
          <w:szCs w:val="32"/>
        </w:rPr>
        <w:t>业务发展情况通报</w:t>
      </w:r>
    </w:p>
    <w:p w:rsidR="00FB3C2F" w:rsidRPr="00FB3C2F" w:rsidRDefault="00FB3C2F" w:rsidP="0089094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市场份额情况</w:t>
      </w:r>
    </w:p>
    <w:p w:rsidR="00B52ADD" w:rsidRPr="00FB3C2F" w:rsidRDefault="00890947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从险种情况看， 上半年，全市</w:t>
      </w:r>
      <w:r w:rsidRPr="00FB3C2F">
        <w:rPr>
          <w:rFonts w:ascii="仿宋" w:eastAsia="仿宋" w:hAnsi="仿宋" w:hint="eastAsia"/>
          <w:b/>
          <w:bCs/>
          <w:sz w:val="32"/>
          <w:szCs w:val="32"/>
        </w:rPr>
        <w:t>车险</w:t>
      </w:r>
      <w:r w:rsidRPr="00FB3C2F">
        <w:rPr>
          <w:rFonts w:ascii="仿宋" w:eastAsia="仿宋" w:hAnsi="仿宋" w:hint="eastAsia"/>
          <w:sz w:val="32"/>
          <w:szCs w:val="32"/>
        </w:rPr>
        <w:t>累计实现保费47063万元，份额56.52%，同比下降10.33个百分点；</w:t>
      </w:r>
      <w:r w:rsidRPr="00FB3C2F">
        <w:rPr>
          <w:rFonts w:ascii="仿宋" w:eastAsia="仿宋" w:hAnsi="仿宋" w:hint="eastAsia"/>
          <w:b/>
          <w:bCs/>
          <w:sz w:val="32"/>
          <w:szCs w:val="32"/>
        </w:rPr>
        <w:t>农险</w:t>
      </w:r>
      <w:r w:rsidRPr="00FB3C2F">
        <w:rPr>
          <w:rFonts w:ascii="仿宋" w:eastAsia="仿宋" w:hAnsi="仿宋" w:hint="eastAsia"/>
          <w:sz w:val="32"/>
          <w:szCs w:val="32"/>
        </w:rPr>
        <w:t>保费16206万，份额19.46%，同比上升2.09个百分点；</w:t>
      </w:r>
      <w:r w:rsidRPr="00FB3C2F">
        <w:rPr>
          <w:rFonts w:ascii="仿宋" w:eastAsia="仿宋" w:hAnsi="仿宋" w:hint="eastAsia"/>
          <w:b/>
          <w:bCs/>
          <w:sz w:val="32"/>
          <w:szCs w:val="32"/>
        </w:rPr>
        <w:t>商非</w:t>
      </w:r>
      <w:r w:rsidRPr="00FB3C2F">
        <w:rPr>
          <w:rFonts w:ascii="仿宋" w:eastAsia="仿宋" w:hAnsi="仿宋" w:hint="eastAsia"/>
          <w:sz w:val="32"/>
          <w:szCs w:val="32"/>
        </w:rPr>
        <w:t>保费19998万，份额24.02%，同比上升8.24个百分点。</w:t>
      </w:r>
    </w:p>
    <w:p w:rsidR="00FB3C2F" w:rsidRPr="00FB3C2F" w:rsidRDefault="00FB3C2F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从各主体情况看，太平洋、国寿财、安华农业、大家等4家机构份额同比上升，其余16家机构份额同比下降。</w:t>
      </w:r>
    </w:p>
    <w:p w:rsidR="00FB3C2F" w:rsidRPr="00FB3C2F" w:rsidRDefault="00FB3C2F" w:rsidP="00FB3C2F">
      <w:pPr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45D7748" wp14:editId="20B5F0D5">
            <wp:extent cx="5319423" cy="2043485"/>
            <wp:effectExtent l="0" t="0" r="14605" b="1397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3C2F" w:rsidRPr="00FB3C2F" w:rsidRDefault="00FB3C2F" w:rsidP="0089094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lastRenderedPageBreak/>
        <w:t>行业增速情况</w:t>
      </w:r>
    </w:p>
    <w:p w:rsidR="00B52ADD" w:rsidRPr="00FB3C2F" w:rsidRDefault="00890947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截止6月末，丹东财险市场业务增速17.59%，同比提升6.15个百分点。</w:t>
      </w:r>
    </w:p>
    <w:p w:rsidR="00FB3C2F" w:rsidRPr="00FB3C2F" w:rsidRDefault="00FB3C2F" w:rsidP="00FB3C2F">
      <w:pPr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 xml:space="preserve">    20家财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中：人保、太平洋、平安、中华联合、国寿财、天安、华安、大家、阳光、太平、安华农业、英大、中航安盟等13家机构业务实现增长，其中：太平洋、国寿财、大家、安华农业4家公司保费增速超过丹东地区平均水平，全市有7家财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业务出现负增长。</w:t>
      </w:r>
    </w:p>
    <w:p w:rsidR="00FB3C2F" w:rsidRDefault="00FB3C2F" w:rsidP="00FB3C2F">
      <w:pPr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4CBFB42" wp14:editId="4072E1E0">
            <wp:extent cx="5359179" cy="3108960"/>
            <wp:effectExtent l="0" t="0" r="13335" b="1524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3C2F" w:rsidRDefault="00FB3C2F" w:rsidP="00FB3C2F">
      <w:pPr>
        <w:rPr>
          <w:rFonts w:ascii="仿宋" w:eastAsia="仿宋" w:hAnsi="仿宋"/>
          <w:b/>
          <w:bCs/>
          <w:sz w:val="32"/>
          <w:szCs w:val="32"/>
        </w:rPr>
      </w:pP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Pr="00FB3C2F">
        <w:rPr>
          <w:rFonts w:ascii="仿宋" w:eastAsia="仿宋" w:hAnsi="仿宋" w:hint="eastAsia"/>
          <w:b/>
          <w:bCs/>
          <w:sz w:val="32"/>
          <w:szCs w:val="32"/>
        </w:rPr>
        <w:t>车险市场情况</w:t>
      </w:r>
    </w:p>
    <w:p w:rsidR="00B52ADD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890947" w:rsidRPr="00FB3C2F">
        <w:rPr>
          <w:rFonts w:ascii="仿宋" w:eastAsia="仿宋" w:hAnsi="仿宋" w:hint="eastAsia"/>
          <w:b/>
          <w:bCs/>
          <w:sz w:val="32"/>
          <w:szCs w:val="32"/>
        </w:rPr>
        <w:t>车险份额情况</w:t>
      </w:r>
    </w:p>
    <w:p w:rsidR="00FB3C2F" w:rsidRPr="00FB3C2F" w:rsidRDefault="00FB3C2F" w:rsidP="00FB3C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FB3C2F">
        <w:rPr>
          <w:rFonts w:ascii="仿宋" w:eastAsia="仿宋" w:hAnsi="仿宋" w:hint="eastAsia"/>
          <w:sz w:val="32"/>
          <w:szCs w:val="32"/>
        </w:rPr>
        <w:t>上半年，全市20家财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险主体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累计实现车险保费47063万元，占丹东财险市场份额56.52%，同比下降10.33个百分点，车险保费占全省车险市场的4.4 %，同比下降0.07个百</w:t>
      </w:r>
      <w:r w:rsidRPr="00FB3C2F">
        <w:rPr>
          <w:rFonts w:ascii="仿宋" w:eastAsia="仿宋" w:hAnsi="仿宋" w:hint="eastAsia"/>
          <w:sz w:val="32"/>
          <w:szCs w:val="32"/>
        </w:rPr>
        <w:lastRenderedPageBreak/>
        <w:t>分点。</w:t>
      </w:r>
    </w:p>
    <w:p w:rsidR="00FB3C2F" w:rsidRPr="00FB3C2F" w:rsidRDefault="00FB3C2F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从主体情况看，人保、平安、国寿财、太平、阳光、英大、华安、大家8家公司车险份额同比提升，其余12家车险份额同比下降。其中：车险市场份额前三位的分别为：人保37.2%、平安22.41%、太平洋11.54%。</w:t>
      </w:r>
    </w:p>
    <w:p w:rsidR="00FB3C2F" w:rsidRDefault="00FB3C2F" w:rsidP="00FB3C2F">
      <w:pPr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5B37735" wp14:editId="10F1038C">
            <wp:extent cx="5383033" cy="3625795"/>
            <wp:effectExtent l="0" t="0" r="27305" b="1333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C2F" w:rsidRDefault="00FB3C2F" w:rsidP="00FB3C2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B52ADD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890947" w:rsidRPr="00FB3C2F">
        <w:rPr>
          <w:rFonts w:ascii="仿宋" w:eastAsia="仿宋" w:hAnsi="仿宋" w:hint="eastAsia"/>
          <w:b/>
          <w:bCs/>
          <w:sz w:val="32"/>
          <w:szCs w:val="32"/>
        </w:rPr>
        <w:t>车险增速情况</w:t>
      </w:r>
    </w:p>
    <w:p w:rsidR="00FB3C2F" w:rsidRPr="00FB3C2F" w:rsidRDefault="00FB3C2F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6月末，丹东市场车险业务负增长（增速-0.6 %），行业车险增速同比下降7.3个百分点。</w:t>
      </w:r>
    </w:p>
    <w:p w:rsidR="00FB3C2F" w:rsidRDefault="00FB3C2F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20家财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中仅人保、平安、国寿财、太平、阳光、英大、华安、大家8家公司车险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保费正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增长，全市有12家财险公司车险业务出现负增长。</w:t>
      </w:r>
    </w:p>
    <w:p w:rsidR="00FB3C2F" w:rsidRDefault="00FB3C2F" w:rsidP="00FB3C2F">
      <w:pPr>
        <w:rPr>
          <w:rFonts w:ascii="仿宋" w:eastAsia="仿宋" w:hAnsi="仿宋"/>
          <w:sz w:val="32"/>
          <w:szCs w:val="32"/>
        </w:rPr>
      </w:pPr>
    </w:p>
    <w:p w:rsidR="00FB3C2F" w:rsidRDefault="00FB3C2F" w:rsidP="00FB3C2F">
      <w:pPr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12223063" wp14:editId="44A709C6">
            <wp:extent cx="5375082" cy="2631882"/>
            <wp:effectExtent l="0" t="0" r="16510" b="1651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2ADD" w:rsidRPr="00FB3C2F" w:rsidRDefault="00890947" w:rsidP="00890947">
      <w:pPr>
        <w:numPr>
          <w:ilvl w:val="0"/>
          <w:numId w:val="2"/>
        </w:numPr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受年初疫情、异地返税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流失影响，车险市场增速明显下滑，份额同比持续下降。</w:t>
      </w:r>
    </w:p>
    <w:p w:rsidR="00B52ADD" w:rsidRPr="00905CAC" w:rsidRDefault="00890947" w:rsidP="00905CAC">
      <w:pPr>
        <w:pStyle w:val="a3"/>
        <w:numPr>
          <w:ilvl w:val="0"/>
          <w:numId w:val="26"/>
        </w:numPr>
        <w:ind w:firstLineChars="0"/>
        <w:rPr>
          <w:rFonts w:ascii="仿宋" w:eastAsia="仿宋" w:hAnsi="仿宋"/>
          <w:sz w:val="32"/>
          <w:szCs w:val="32"/>
        </w:rPr>
      </w:pPr>
      <w:r w:rsidRPr="00905CAC">
        <w:rPr>
          <w:rFonts w:ascii="仿宋" w:eastAsia="仿宋" w:hAnsi="仿宋" w:hint="eastAsia"/>
          <w:b/>
          <w:bCs/>
          <w:sz w:val="32"/>
          <w:szCs w:val="32"/>
        </w:rPr>
        <w:t>车辆使用性质情况</w:t>
      </w: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家庭自用车：</w:t>
      </w:r>
      <w:r w:rsidRPr="00FB3C2F">
        <w:rPr>
          <w:rFonts w:ascii="仿宋" w:eastAsia="仿宋" w:hAnsi="仿宋" w:hint="eastAsia"/>
          <w:sz w:val="32"/>
          <w:szCs w:val="32"/>
        </w:rPr>
        <w:t>累计实现保费收入32262万元，增速-1.77%，占整体车险份额67.59%；</w:t>
      </w: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非营业客车：</w:t>
      </w:r>
      <w:r w:rsidRPr="00FB3C2F">
        <w:rPr>
          <w:rFonts w:ascii="仿宋" w:eastAsia="仿宋" w:hAnsi="仿宋" w:hint="eastAsia"/>
          <w:sz w:val="32"/>
          <w:szCs w:val="32"/>
        </w:rPr>
        <w:t>累计实现保费3159万元，增速-7.01%，占整体车险份额6.62%；</w:t>
      </w: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营业客车：</w:t>
      </w:r>
      <w:r w:rsidRPr="00FB3C2F">
        <w:rPr>
          <w:rFonts w:ascii="仿宋" w:eastAsia="仿宋" w:hAnsi="仿宋" w:hint="eastAsia"/>
          <w:sz w:val="32"/>
          <w:szCs w:val="32"/>
        </w:rPr>
        <w:t>累计实现保费1543万元，增速-18.92%，占整体车险份额3.23%；</w:t>
      </w: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非营业货车：</w:t>
      </w:r>
      <w:r w:rsidRPr="00FB3C2F">
        <w:rPr>
          <w:rFonts w:ascii="仿宋" w:eastAsia="仿宋" w:hAnsi="仿宋" w:hint="eastAsia"/>
          <w:sz w:val="32"/>
          <w:szCs w:val="32"/>
        </w:rPr>
        <w:t>累计实现保费4364万元，增速-5.92%，占整体车险份额9.14%；</w:t>
      </w: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营业货车：</w:t>
      </w:r>
      <w:r w:rsidRPr="00FB3C2F">
        <w:rPr>
          <w:rFonts w:ascii="仿宋" w:eastAsia="仿宋" w:hAnsi="仿宋" w:hint="eastAsia"/>
          <w:sz w:val="32"/>
          <w:szCs w:val="32"/>
        </w:rPr>
        <w:t>累计实现保费6241万元，增速12.65%，占整体车险份额13.07 %；</w:t>
      </w: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特种车：</w:t>
      </w:r>
      <w:r w:rsidRPr="00FB3C2F">
        <w:rPr>
          <w:rFonts w:ascii="仿宋" w:eastAsia="仿宋" w:hAnsi="仿宋" w:hint="eastAsia"/>
          <w:sz w:val="32"/>
          <w:szCs w:val="32"/>
        </w:rPr>
        <w:t>累计实现保费165万元，降幅-22.92%，占整体车险份额0.35%。</w:t>
      </w:r>
    </w:p>
    <w:p w:rsidR="006D3EC1" w:rsidRDefault="006D3EC1" w:rsidP="00FB3C2F">
      <w:pPr>
        <w:rPr>
          <w:rFonts w:ascii="仿宋" w:eastAsia="仿宋" w:hAnsi="仿宋"/>
          <w:sz w:val="32"/>
          <w:szCs w:val="32"/>
        </w:rPr>
      </w:pPr>
      <w:r w:rsidRPr="006D3EC1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0F75F3DC" wp14:editId="3B18F758">
            <wp:extent cx="2464904" cy="2711395"/>
            <wp:effectExtent l="0" t="0" r="50165" b="1333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D3EC1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98D6262" wp14:editId="70044B73">
            <wp:extent cx="2655736" cy="2711395"/>
            <wp:effectExtent l="0" t="0" r="11430" b="1333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3EC1" w:rsidRPr="00FB3C2F" w:rsidRDefault="00FB3C2F" w:rsidP="006D3E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sz w:val="32"/>
          <w:szCs w:val="32"/>
        </w:rPr>
        <w:t>从份额情况看，家庭自用车仍然是车险的支撑；从增速情况看，除营业货车</w:t>
      </w:r>
      <w:proofErr w:type="gramStart"/>
      <w:r w:rsidRPr="00FB3C2F">
        <w:rPr>
          <w:rFonts w:ascii="仿宋" w:eastAsia="仿宋" w:hAnsi="仿宋" w:hint="eastAsia"/>
          <w:sz w:val="32"/>
          <w:szCs w:val="32"/>
        </w:rPr>
        <w:t>保费正</w:t>
      </w:r>
      <w:proofErr w:type="gramEnd"/>
      <w:r w:rsidRPr="00FB3C2F">
        <w:rPr>
          <w:rFonts w:ascii="仿宋" w:eastAsia="仿宋" w:hAnsi="仿宋" w:hint="eastAsia"/>
          <w:sz w:val="32"/>
          <w:szCs w:val="32"/>
        </w:rPr>
        <w:t>增长外，其余车型保费均呈负增长态势。</w:t>
      </w:r>
    </w:p>
    <w:p w:rsidR="00B52ADD" w:rsidRPr="00905CAC" w:rsidRDefault="00905CAC" w:rsidP="00905CA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4、</w:t>
      </w:r>
      <w:r w:rsidR="00890947" w:rsidRPr="00905CAC">
        <w:rPr>
          <w:rFonts w:ascii="仿宋" w:eastAsia="仿宋" w:hAnsi="仿宋" w:hint="eastAsia"/>
          <w:b/>
          <w:bCs/>
          <w:sz w:val="32"/>
          <w:szCs w:val="32"/>
        </w:rPr>
        <w:t>县域车险情</w:t>
      </w:r>
      <w:proofErr w:type="gramStart"/>
      <w:r w:rsidR="00890947" w:rsidRPr="00905CAC">
        <w:rPr>
          <w:rFonts w:ascii="仿宋" w:eastAsia="仿宋" w:hAnsi="仿宋" w:hint="eastAsia"/>
          <w:b/>
          <w:bCs/>
          <w:sz w:val="32"/>
          <w:szCs w:val="32"/>
        </w:rPr>
        <w:t>况</w:t>
      </w:r>
      <w:proofErr w:type="gramEnd"/>
    </w:p>
    <w:p w:rsidR="006D3EC1" w:rsidRPr="006D3EC1" w:rsidRDefault="006D3EC1" w:rsidP="006D3EC1">
      <w:pPr>
        <w:rPr>
          <w:rFonts w:ascii="仿宋" w:eastAsia="仿宋" w:hAnsi="仿宋"/>
          <w:sz w:val="32"/>
          <w:szCs w:val="32"/>
        </w:rPr>
      </w:pPr>
      <w:r w:rsidRPr="006D3EC1">
        <w:rPr>
          <w:rFonts w:ascii="仿宋" w:eastAsia="仿宋" w:hAnsi="仿宋" w:hint="eastAsia"/>
          <w:sz w:val="32"/>
          <w:szCs w:val="32"/>
        </w:rPr>
        <w:t xml:space="preserve">    上半年，县域车险累计实现保费收入24503万元，增速1.7%，同比下降9.74个百分点。县域车险保费占县域保费份额53.03%，同比下降7.6个百分点。其中：</w:t>
      </w:r>
    </w:p>
    <w:p w:rsidR="00B52ADD" w:rsidRPr="006D3EC1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D3EC1">
        <w:rPr>
          <w:rFonts w:ascii="仿宋" w:eastAsia="仿宋" w:hAnsi="仿宋" w:hint="eastAsia"/>
          <w:b/>
          <w:bCs/>
          <w:sz w:val="32"/>
          <w:szCs w:val="32"/>
        </w:rPr>
        <w:t>东港：</w:t>
      </w:r>
      <w:r w:rsidRPr="006D3EC1">
        <w:rPr>
          <w:rFonts w:ascii="仿宋" w:eastAsia="仿宋" w:hAnsi="仿宋" w:hint="eastAsia"/>
          <w:sz w:val="32"/>
          <w:szCs w:val="32"/>
        </w:rPr>
        <w:t>车险保费13176万元，占当地财险市场份额54.12%，同比下降3.86个百分点；东港车险增速2.98%，同比下降13.14个百分点；</w:t>
      </w:r>
    </w:p>
    <w:p w:rsidR="00B52ADD" w:rsidRPr="006D3EC1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D3EC1">
        <w:rPr>
          <w:rFonts w:ascii="仿宋" w:eastAsia="仿宋" w:hAnsi="仿宋" w:hint="eastAsia"/>
          <w:b/>
          <w:bCs/>
          <w:sz w:val="32"/>
          <w:szCs w:val="32"/>
        </w:rPr>
        <w:t>凤城：</w:t>
      </w:r>
      <w:r w:rsidRPr="006D3EC1">
        <w:rPr>
          <w:rFonts w:ascii="仿宋" w:eastAsia="仿宋" w:hAnsi="仿宋" w:hint="eastAsia"/>
          <w:sz w:val="32"/>
          <w:szCs w:val="32"/>
        </w:rPr>
        <w:t>车险保费6631万元，占当地市场份额52.72%，同比下降14.35个百分点；凤城车险增速-1.09%，同比下降3.83个百分点；</w:t>
      </w:r>
    </w:p>
    <w:p w:rsidR="00B52ADD" w:rsidRPr="006D3EC1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D3EC1">
        <w:rPr>
          <w:rFonts w:ascii="仿宋" w:eastAsia="仿宋" w:hAnsi="仿宋" w:hint="eastAsia"/>
          <w:b/>
          <w:bCs/>
          <w:sz w:val="32"/>
          <w:szCs w:val="32"/>
        </w:rPr>
        <w:t>宽甸：</w:t>
      </w:r>
      <w:r w:rsidRPr="006D3EC1">
        <w:rPr>
          <w:rFonts w:ascii="仿宋" w:eastAsia="仿宋" w:hAnsi="仿宋" w:hint="eastAsia"/>
          <w:sz w:val="32"/>
          <w:szCs w:val="32"/>
        </w:rPr>
        <w:t>车险保费4695万元，占当地财险市场份额50.59%，同比下降9.24个百分点；宽甸车险增速2.22%，同比下降</w:t>
      </w:r>
      <w:r w:rsidRPr="006D3EC1">
        <w:rPr>
          <w:rFonts w:ascii="仿宋" w:eastAsia="仿宋" w:hAnsi="仿宋" w:hint="eastAsia"/>
          <w:sz w:val="32"/>
          <w:szCs w:val="32"/>
        </w:rPr>
        <w:lastRenderedPageBreak/>
        <w:t>9.74个百分点。</w:t>
      </w:r>
    </w:p>
    <w:p w:rsidR="00B52ADD" w:rsidRPr="006D3EC1" w:rsidRDefault="00890947" w:rsidP="006D3E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3EC1">
        <w:rPr>
          <w:rFonts w:ascii="仿宋" w:eastAsia="仿宋" w:hAnsi="仿宋" w:hint="eastAsia"/>
          <w:sz w:val="32"/>
          <w:szCs w:val="32"/>
        </w:rPr>
        <w:t>从三县车险发展情况看：上半年，受疫情及异地返税政策影响，东港、凤城、宽甸三个县域均呈现份额下降，增速下滑趋势。</w:t>
      </w:r>
    </w:p>
    <w:p w:rsidR="006D3EC1" w:rsidRPr="006D3EC1" w:rsidRDefault="006D3EC1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Pr="006D3EC1">
        <w:rPr>
          <w:rFonts w:ascii="仿宋" w:eastAsia="仿宋" w:hAnsi="仿宋" w:hint="eastAsia"/>
          <w:b/>
          <w:bCs/>
          <w:sz w:val="32"/>
          <w:szCs w:val="32"/>
        </w:rPr>
        <w:t>农险市场情况</w:t>
      </w:r>
    </w:p>
    <w:p w:rsidR="006D3EC1" w:rsidRPr="006D3EC1" w:rsidRDefault="006D3EC1" w:rsidP="006D3E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3EC1">
        <w:rPr>
          <w:rFonts w:ascii="仿宋" w:eastAsia="仿宋" w:hAnsi="仿宋" w:hint="eastAsia"/>
          <w:sz w:val="32"/>
          <w:szCs w:val="32"/>
        </w:rPr>
        <w:t>上半年，全市累计实现农险保费收入16206万元，同比增加3904万元，增速31.37%，同比提升5.17个百分点；市场份额19.46%，同比上升2.09个百分点。</w:t>
      </w:r>
    </w:p>
    <w:p w:rsidR="00B52ADD" w:rsidRDefault="006D3EC1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6D3EC1">
        <w:rPr>
          <w:rFonts w:ascii="仿宋" w:eastAsia="仿宋" w:hAnsi="仿宋" w:hint="eastAsia"/>
          <w:b/>
          <w:bCs/>
          <w:sz w:val="32"/>
          <w:szCs w:val="32"/>
        </w:rPr>
        <w:t>险种</w:t>
      </w:r>
      <w:r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6D3EC1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6D3EC1">
        <w:rPr>
          <w:rFonts w:ascii="仿宋" w:eastAsia="仿宋" w:hAnsi="仿宋" w:hint="eastAsia"/>
          <w:sz w:val="32"/>
          <w:szCs w:val="32"/>
        </w:rPr>
        <w:t>种植险保费13502万元，增速33.52%，占农险份额83.32%；养殖险保费1775万元，增速35.38%，占农险份额10.95%；森林险保费929万，增速5.71%，占农险份额5.73%。</w:t>
      </w:r>
    </w:p>
    <w:p w:rsidR="006D3EC1" w:rsidRPr="006D3EC1" w:rsidRDefault="000207F5" w:rsidP="006D3EC1">
      <w:pPr>
        <w:rPr>
          <w:rFonts w:ascii="仿宋" w:eastAsia="仿宋" w:hAnsi="仿宋"/>
          <w:sz w:val="32"/>
          <w:szCs w:val="32"/>
        </w:rPr>
      </w:pPr>
      <w:r w:rsidRPr="000207F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3E1E5EA" wp14:editId="4C3E18D9">
            <wp:extent cx="5701085" cy="3101009"/>
            <wp:effectExtent l="0" t="0" r="13970" b="2349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2ADD" w:rsidRPr="006D3EC1" w:rsidRDefault="00890947" w:rsidP="000207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3EC1">
        <w:rPr>
          <w:rFonts w:ascii="仿宋" w:eastAsia="仿宋" w:hAnsi="仿宋" w:hint="eastAsia"/>
          <w:sz w:val="32"/>
          <w:szCs w:val="32"/>
        </w:rPr>
        <w:t>上半年，农险保费增速较快，主要是凤城地区新增食用菌保费拉动。</w:t>
      </w:r>
    </w:p>
    <w:p w:rsidR="00B52ADD" w:rsidRPr="000207F5" w:rsidRDefault="000207F5" w:rsidP="000207F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从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主体</w:t>
      </w:r>
      <w:r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0207F5">
        <w:rPr>
          <w:rFonts w:ascii="仿宋" w:eastAsia="仿宋" w:hAnsi="仿宋" w:hint="eastAsia"/>
          <w:sz w:val="32"/>
          <w:szCs w:val="32"/>
        </w:rPr>
        <w:t>上半年，全市经营农险业务的主体共有6家，分别是：人保（保费6268万，份额38.79%）、太平洋（保费307万，份额1.89%）、中华联合（保费4609万，份额28.44 %）、国寿财（保费154万，份额0.95%）、安华农业（保费1984万，份额12.24%）、中航安盟（保费2867万元，份额17.69%）。</w:t>
      </w:r>
    </w:p>
    <w:p w:rsidR="00FB3C2F" w:rsidRDefault="000207F5" w:rsidP="00FB3C2F">
      <w:pPr>
        <w:rPr>
          <w:rFonts w:ascii="仿宋" w:eastAsia="仿宋" w:hAnsi="仿宋"/>
          <w:sz w:val="32"/>
          <w:szCs w:val="32"/>
        </w:rPr>
      </w:pPr>
      <w:r w:rsidRPr="000207F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96570D7" wp14:editId="63A6B7AD">
            <wp:extent cx="5470497" cy="3339547"/>
            <wp:effectExtent l="0" t="0" r="16510" b="13335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07F5" w:rsidRDefault="000207F5" w:rsidP="000207F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0207F5" w:rsidRPr="000207F5" w:rsidRDefault="000207F5" w:rsidP="00905CAC">
      <w:pPr>
        <w:ind w:firstLineChars="100" w:firstLine="321"/>
        <w:rPr>
          <w:rFonts w:ascii="仿宋" w:eastAsia="仿宋" w:hAnsi="仿宋"/>
          <w:sz w:val="32"/>
          <w:szCs w:val="32"/>
        </w:rPr>
      </w:pPr>
      <w:r w:rsidRPr="00905CAC">
        <w:rPr>
          <w:rFonts w:ascii="仿宋" w:eastAsia="仿宋" w:hAnsi="仿宋" w:hint="eastAsia"/>
          <w:b/>
          <w:sz w:val="32"/>
          <w:szCs w:val="32"/>
        </w:rPr>
        <w:t>（五）</w:t>
      </w:r>
      <w:proofErr w:type="gramStart"/>
      <w:r w:rsidRPr="00905CAC">
        <w:rPr>
          <w:rFonts w:ascii="仿宋" w:eastAsia="仿宋" w:hAnsi="仿宋" w:hint="eastAsia"/>
          <w:b/>
          <w:bCs/>
          <w:sz w:val="32"/>
          <w:szCs w:val="32"/>
        </w:rPr>
        <w:t>商非市</w:t>
      </w:r>
      <w:r w:rsidRPr="000207F5">
        <w:rPr>
          <w:rFonts w:ascii="仿宋" w:eastAsia="仿宋" w:hAnsi="仿宋" w:hint="eastAsia"/>
          <w:b/>
          <w:bCs/>
          <w:sz w:val="32"/>
          <w:szCs w:val="32"/>
        </w:rPr>
        <w:t>场</w:t>
      </w:r>
      <w:proofErr w:type="gramEnd"/>
      <w:r w:rsidRPr="000207F5">
        <w:rPr>
          <w:rFonts w:ascii="仿宋" w:eastAsia="仿宋" w:hAnsi="仿宋" w:hint="eastAsia"/>
          <w:b/>
          <w:bCs/>
          <w:sz w:val="32"/>
          <w:szCs w:val="32"/>
        </w:rPr>
        <w:t>情况</w:t>
      </w:r>
    </w:p>
    <w:p w:rsidR="000207F5" w:rsidRPr="000207F5" w:rsidRDefault="000207F5" w:rsidP="000207F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07F5">
        <w:rPr>
          <w:rFonts w:ascii="仿宋" w:eastAsia="仿宋" w:hAnsi="仿宋" w:hint="eastAsia"/>
          <w:sz w:val="32"/>
          <w:szCs w:val="32"/>
        </w:rPr>
        <w:t>上半年，全市商非保费19998万元，同比增加8832万元，增速79.1%，同比提升60.97个百分点；份额24.02%，同比提升8.24个百分点。</w:t>
      </w:r>
    </w:p>
    <w:p w:rsidR="00B52ADD" w:rsidRPr="000207F5" w:rsidRDefault="000207F5" w:rsidP="000207F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主体</w:t>
      </w:r>
      <w:r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0207F5">
        <w:rPr>
          <w:rFonts w:ascii="仿宋" w:eastAsia="仿宋" w:hAnsi="仿宋" w:hint="eastAsia"/>
          <w:sz w:val="32"/>
          <w:szCs w:val="32"/>
        </w:rPr>
        <w:t>20家财</w:t>
      </w:r>
      <w:proofErr w:type="gramStart"/>
      <w:r w:rsidR="00890947" w:rsidRPr="000207F5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="00890947" w:rsidRPr="000207F5">
        <w:rPr>
          <w:rFonts w:ascii="仿宋" w:eastAsia="仿宋" w:hAnsi="仿宋" w:hint="eastAsia"/>
          <w:sz w:val="32"/>
          <w:szCs w:val="32"/>
        </w:rPr>
        <w:t>中，人保、太平洋、平安、国寿财、天安、永安、大家、阳光、太平、渤海、英大、中航安盟、富邦13家</w:t>
      </w:r>
      <w:proofErr w:type="gramStart"/>
      <w:r w:rsidR="00890947" w:rsidRPr="000207F5">
        <w:rPr>
          <w:rFonts w:ascii="仿宋" w:eastAsia="仿宋" w:hAnsi="仿宋" w:hint="eastAsia"/>
          <w:sz w:val="32"/>
          <w:szCs w:val="32"/>
        </w:rPr>
        <w:t>机构商非业务</w:t>
      </w:r>
      <w:proofErr w:type="gramEnd"/>
      <w:r w:rsidR="00890947" w:rsidRPr="000207F5">
        <w:rPr>
          <w:rFonts w:ascii="仿宋" w:eastAsia="仿宋" w:hAnsi="仿宋" w:hint="eastAsia"/>
          <w:sz w:val="32"/>
          <w:szCs w:val="32"/>
        </w:rPr>
        <w:t>实现正增长，其余7家</w:t>
      </w:r>
      <w:proofErr w:type="gramStart"/>
      <w:r w:rsidR="00890947" w:rsidRPr="000207F5">
        <w:rPr>
          <w:rFonts w:ascii="仿宋" w:eastAsia="仿宋" w:hAnsi="仿宋" w:hint="eastAsia"/>
          <w:sz w:val="32"/>
          <w:szCs w:val="32"/>
        </w:rPr>
        <w:t>机</w:t>
      </w:r>
      <w:r w:rsidR="00890947" w:rsidRPr="000207F5">
        <w:rPr>
          <w:rFonts w:ascii="仿宋" w:eastAsia="仿宋" w:hAnsi="仿宋" w:hint="eastAsia"/>
          <w:sz w:val="32"/>
          <w:szCs w:val="32"/>
        </w:rPr>
        <w:lastRenderedPageBreak/>
        <w:t>构商非业务</w:t>
      </w:r>
      <w:proofErr w:type="gramEnd"/>
      <w:r w:rsidR="00890947" w:rsidRPr="000207F5">
        <w:rPr>
          <w:rFonts w:ascii="仿宋" w:eastAsia="仿宋" w:hAnsi="仿宋" w:hint="eastAsia"/>
          <w:sz w:val="32"/>
          <w:szCs w:val="32"/>
        </w:rPr>
        <w:t>负增长。</w:t>
      </w:r>
    </w:p>
    <w:p w:rsidR="000207F5" w:rsidRDefault="000207F5" w:rsidP="00FB3C2F">
      <w:pPr>
        <w:rPr>
          <w:rFonts w:ascii="仿宋" w:eastAsia="仿宋" w:hAnsi="仿宋"/>
          <w:sz w:val="32"/>
          <w:szCs w:val="32"/>
        </w:rPr>
      </w:pPr>
      <w:r w:rsidRPr="000207F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276ACA6" wp14:editId="3DCA1686">
            <wp:extent cx="5414838" cy="3148717"/>
            <wp:effectExtent l="0" t="0" r="14605" b="1397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2ADD" w:rsidRPr="000207F5" w:rsidRDefault="000207F5" w:rsidP="000207F5">
      <w:pPr>
        <w:tabs>
          <w:tab w:val="num" w:pos="720"/>
        </w:tabs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商非险种情况</w:t>
      </w:r>
      <w:r>
        <w:rPr>
          <w:rFonts w:ascii="仿宋" w:eastAsia="仿宋" w:hAnsi="仿宋" w:hint="eastAsia"/>
          <w:b/>
          <w:bCs/>
          <w:sz w:val="32"/>
          <w:szCs w:val="32"/>
        </w:rPr>
        <w:t>看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0207F5">
        <w:rPr>
          <w:rFonts w:ascii="仿宋" w:eastAsia="仿宋" w:hAnsi="仿宋" w:hint="eastAsia"/>
          <w:sz w:val="32"/>
          <w:szCs w:val="32"/>
        </w:rPr>
        <w:t>企财、家财、责任、</w:t>
      </w:r>
      <w:proofErr w:type="gramStart"/>
      <w:r w:rsidR="00890947" w:rsidRPr="000207F5">
        <w:rPr>
          <w:rFonts w:ascii="仿宋" w:eastAsia="仿宋" w:hAnsi="仿宋" w:hint="eastAsia"/>
          <w:sz w:val="32"/>
          <w:szCs w:val="32"/>
        </w:rPr>
        <w:t>意健险保费正</w:t>
      </w:r>
      <w:proofErr w:type="gramEnd"/>
      <w:r w:rsidR="00890947" w:rsidRPr="000207F5">
        <w:rPr>
          <w:rFonts w:ascii="仿宋" w:eastAsia="仿宋" w:hAnsi="仿宋" w:hint="eastAsia"/>
          <w:sz w:val="32"/>
          <w:szCs w:val="32"/>
        </w:rPr>
        <w:t>增长，货运险、其他险保费负增长。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货运险：</w:t>
      </w:r>
      <w:r w:rsidR="00890947" w:rsidRPr="000207F5">
        <w:rPr>
          <w:rFonts w:ascii="仿宋" w:eastAsia="仿宋" w:hAnsi="仿宋" w:hint="eastAsia"/>
          <w:sz w:val="32"/>
          <w:szCs w:val="32"/>
        </w:rPr>
        <w:t>保费147万，同比减少89万，降幅37.75%；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其他险：</w:t>
      </w:r>
      <w:r w:rsidR="00890947" w:rsidRPr="000207F5">
        <w:rPr>
          <w:rFonts w:ascii="仿宋" w:eastAsia="仿宋" w:hAnsi="仿宋" w:hint="eastAsia"/>
          <w:sz w:val="32"/>
          <w:szCs w:val="32"/>
        </w:rPr>
        <w:t>保费2054万，同比减少562万。其中：船舶险保费210万，同比增加148万，增幅235.6%；工程险保费26万，同比减少96万，降幅76.49%；信用保证险保费1603万，同比减少821万，降幅33.87%。</w:t>
      </w:r>
    </w:p>
    <w:p w:rsidR="000207F5" w:rsidRDefault="000207F5" w:rsidP="00FB3C2F">
      <w:pPr>
        <w:rPr>
          <w:rFonts w:ascii="仿宋" w:eastAsia="仿宋" w:hAnsi="仿宋"/>
          <w:sz w:val="32"/>
          <w:szCs w:val="32"/>
        </w:rPr>
      </w:pPr>
      <w:r w:rsidRPr="000207F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4E17492" wp14:editId="1841DFEE">
            <wp:extent cx="5414838" cy="2639834"/>
            <wp:effectExtent l="0" t="0" r="14605" b="27305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07F5" w:rsidRPr="000207F5" w:rsidRDefault="000207F5" w:rsidP="00890947">
      <w:pPr>
        <w:pStyle w:val="a3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0207F5">
        <w:rPr>
          <w:rFonts w:ascii="仿宋" w:eastAsia="仿宋" w:hAnsi="仿宋" w:hint="eastAsia"/>
          <w:b/>
          <w:bCs/>
          <w:sz w:val="32"/>
          <w:szCs w:val="32"/>
        </w:rPr>
        <w:lastRenderedPageBreak/>
        <w:t>县域市场情况</w:t>
      </w:r>
    </w:p>
    <w:p w:rsidR="00B52ADD" w:rsidRPr="000207F5" w:rsidRDefault="000207F5" w:rsidP="000207F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县域保费分布</w:t>
      </w:r>
      <w:r>
        <w:rPr>
          <w:rFonts w:ascii="仿宋" w:eastAsia="仿宋" w:hAnsi="仿宋" w:hint="eastAsia"/>
          <w:b/>
          <w:bCs/>
          <w:sz w:val="32"/>
          <w:szCs w:val="32"/>
        </w:rPr>
        <w:t>情况看：</w:t>
      </w:r>
      <w:r w:rsidR="00890947" w:rsidRPr="000207F5">
        <w:rPr>
          <w:rFonts w:ascii="仿宋" w:eastAsia="仿宋" w:hAnsi="仿宋" w:hint="eastAsia"/>
          <w:sz w:val="32"/>
          <w:szCs w:val="32"/>
        </w:rPr>
        <w:t xml:space="preserve"> 上半年，县域保费46206万元，占地区总保费的55.49%，同比下降1.12个百分点。其中：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东港</w:t>
      </w:r>
      <w:r w:rsidR="00890947" w:rsidRPr="000207F5">
        <w:rPr>
          <w:rFonts w:ascii="仿宋" w:eastAsia="仿宋" w:hAnsi="仿宋" w:hint="eastAsia"/>
          <w:sz w:val="32"/>
          <w:szCs w:val="32"/>
        </w:rPr>
        <w:t>保费24346万元，占县域份额52.69 %,同比下降2.8个百分点；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凤城</w:t>
      </w:r>
      <w:r w:rsidR="00890947" w:rsidRPr="000207F5">
        <w:rPr>
          <w:rFonts w:ascii="仿宋" w:eastAsia="仿宋" w:hAnsi="仿宋" w:hint="eastAsia"/>
          <w:sz w:val="32"/>
          <w:szCs w:val="32"/>
        </w:rPr>
        <w:t>保费12578万元，占县域份额27.22%，同比提升2.02个百分点；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宽甸</w:t>
      </w:r>
      <w:r w:rsidR="00890947" w:rsidRPr="000207F5">
        <w:rPr>
          <w:rFonts w:ascii="仿宋" w:eastAsia="仿宋" w:hAnsi="仿宋" w:hint="eastAsia"/>
          <w:sz w:val="32"/>
          <w:szCs w:val="32"/>
        </w:rPr>
        <w:t>保费9298万，占县域份额20.09%，同比提升0.78个百分点。</w:t>
      </w:r>
    </w:p>
    <w:p w:rsidR="000207F5" w:rsidRDefault="000207F5" w:rsidP="00FB3C2F">
      <w:pPr>
        <w:rPr>
          <w:rFonts w:ascii="仿宋" w:eastAsia="仿宋" w:hAnsi="仿宋"/>
          <w:sz w:val="32"/>
          <w:szCs w:val="32"/>
        </w:rPr>
      </w:pPr>
      <w:r w:rsidRPr="000207F5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12D3A98" wp14:editId="6F2DD3F3">
            <wp:extent cx="5502302" cy="2886324"/>
            <wp:effectExtent l="0" t="0" r="22225" b="9525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07F5" w:rsidRDefault="000207F5" w:rsidP="000207F5">
      <w:pPr>
        <w:rPr>
          <w:rFonts w:ascii="仿宋" w:eastAsia="仿宋" w:hAnsi="仿宋"/>
          <w:b/>
          <w:bCs/>
          <w:sz w:val="32"/>
          <w:szCs w:val="32"/>
        </w:rPr>
      </w:pPr>
    </w:p>
    <w:p w:rsidR="00B52ADD" w:rsidRPr="000207F5" w:rsidRDefault="000207F5" w:rsidP="000207F5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县域</w:t>
      </w:r>
      <w:r>
        <w:rPr>
          <w:rFonts w:ascii="仿宋" w:eastAsia="仿宋" w:hAnsi="仿宋" w:hint="eastAsia"/>
          <w:b/>
          <w:bCs/>
          <w:sz w:val="32"/>
          <w:szCs w:val="32"/>
        </w:rPr>
        <w:t>保费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增速</w:t>
      </w:r>
      <w:r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0207F5">
        <w:rPr>
          <w:rFonts w:ascii="仿宋" w:eastAsia="仿宋" w:hAnsi="仿宋" w:hint="eastAsia"/>
          <w:sz w:val="32"/>
          <w:szCs w:val="32"/>
        </w:rPr>
        <w:t xml:space="preserve"> 上半年，县域整体保费增速15.25%，同比提升0.56个百分点。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东港</w:t>
      </w:r>
      <w:r w:rsidR="00890947" w:rsidRPr="000207F5">
        <w:rPr>
          <w:rFonts w:ascii="仿宋" w:eastAsia="仿宋" w:hAnsi="仿宋" w:hint="eastAsia"/>
          <w:sz w:val="32"/>
          <w:szCs w:val="32"/>
        </w:rPr>
        <w:t>增速10.52%，同比下降3.71个百分点；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凤城</w:t>
      </w:r>
      <w:r w:rsidR="00890947" w:rsidRPr="000207F5">
        <w:rPr>
          <w:rFonts w:ascii="仿宋" w:eastAsia="仿宋" w:hAnsi="仿宋" w:hint="eastAsia"/>
          <w:sz w:val="32"/>
          <w:szCs w:val="32"/>
        </w:rPr>
        <w:t>增速21.75%，同比上升8.11个百分点；</w:t>
      </w:r>
      <w:r w:rsidR="00890947" w:rsidRPr="000207F5">
        <w:rPr>
          <w:rFonts w:ascii="仿宋" w:eastAsia="仿宋" w:hAnsi="仿宋" w:hint="eastAsia"/>
          <w:b/>
          <w:bCs/>
          <w:sz w:val="32"/>
          <w:szCs w:val="32"/>
        </w:rPr>
        <w:t>宽甸</w:t>
      </w:r>
      <w:r w:rsidR="00890947" w:rsidRPr="000207F5">
        <w:rPr>
          <w:rFonts w:ascii="仿宋" w:eastAsia="仿宋" w:hAnsi="仿宋" w:hint="eastAsia"/>
          <w:sz w:val="32"/>
          <w:szCs w:val="32"/>
        </w:rPr>
        <w:t>增速20.06 %，同比提升2.58个百分点。</w:t>
      </w:r>
    </w:p>
    <w:p w:rsidR="00B52ADD" w:rsidRDefault="000207F5" w:rsidP="000207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上半年，</w:t>
      </w:r>
      <w:r w:rsidR="00890947" w:rsidRPr="000207F5">
        <w:rPr>
          <w:rFonts w:ascii="仿宋" w:eastAsia="仿宋" w:hAnsi="仿宋" w:hint="eastAsia"/>
          <w:sz w:val="32"/>
          <w:szCs w:val="32"/>
        </w:rPr>
        <w:t>三个县域中凤城、宽甸地区保费增速和市场份额同比提升，东港地区保费增速、份额均同比下降。</w:t>
      </w:r>
    </w:p>
    <w:p w:rsidR="000651B2" w:rsidRDefault="000651B2" w:rsidP="000207F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52ADD" w:rsidRPr="000651B2" w:rsidRDefault="000651B2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从</w:t>
      </w:r>
      <w:r w:rsidR="00890947" w:rsidRPr="000651B2">
        <w:rPr>
          <w:rFonts w:ascii="仿宋" w:eastAsia="仿宋" w:hAnsi="仿宋" w:hint="eastAsia"/>
          <w:b/>
          <w:bCs/>
          <w:sz w:val="32"/>
          <w:szCs w:val="32"/>
        </w:rPr>
        <w:t>县域险种</w:t>
      </w:r>
      <w:r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0651B2">
        <w:rPr>
          <w:rFonts w:ascii="仿宋" w:eastAsia="仿宋" w:hAnsi="仿宋" w:hint="eastAsia"/>
          <w:b/>
          <w:bCs/>
          <w:sz w:val="32"/>
          <w:szCs w:val="32"/>
        </w:rPr>
        <w:t>：县域车险</w:t>
      </w:r>
      <w:r w:rsidR="00890947" w:rsidRPr="000651B2">
        <w:rPr>
          <w:rFonts w:ascii="仿宋" w:eastAsia="仿宋" w:hAnsi="仿宋" w:hint="eastAsia"/>
          <w:sz w:val="32"/>
          <w:szCs w:val="32"/>
        </w:rPr>
        <w:t>保费收入24503万元，增速1.79%，同比下降9.74个百分点，份额53.03%，同比下降7.6个百分点；</w:t>
      </w:r>
      <w:r w:rsidR="00890947" w:rsidRPr="000651B2">
        <w:rPr>
          <w:rFonts w:ascii="仿宋" w:eastAsia="仿宋" w:hAnsi="仿宋" w:hint="eastAsia"/>
          <w:b/>
          <w:bCs/>
          <w:sz w:val="32"/>
          <w:szCs w:val="32"/>
        </w:rPr>
        <w:t>县域商非</w:t>
      </w:r>
      <w:r w:rsidR="00890947" w:rsidRPr="000651B2">
        <w:rPr>
          <w:rFonts w:ascii="仿宋" w:eastAsia="仿宋" w:hAnsi="仿宋" w:hint="eastAsia"/>
          <w:sz w:val="32"/>
          <w:szCs w:val="32"/>
        </w:rPr>
        <w:t>保费收入6338万元，增速43.48%，同比提升28.53个百分点，份额13.73%，同比上升2.7个百分点；</w:t>
      </w:r>
      <w:r w:rsidR="00890947" w:rsidRPr="000651B2">
        <w:rPr>
          <w:rFonts w:ascii="仿宋" w:eastAsia="仿宋" w:hAnsi="仿宋" w:hint="eastAsia"/>
          <w:b/>
          <w:bCs/>
          <w:sz w:val="32"/>
          <w:szCs w:val="32"/>
        </w:rPr>
        <w:t>县域农险</w:t>
      </w:r>
      <w:r w:rsidR="00890947" w:rsidRPr="000651B2">
        <w:rPr>
          <w:rFonts w:ascii="仿宋" w:eastAsia="仿宋" w:hAnsi="仿宋" w:hint="eastAsia"/>
          <w:sz w:val="32"/>
          <w:szCs w:val="32"/>
        </w:rPr>
        <w:t>保费15365万元，增速32.68%，同比提升10.41个百分点，份额33.25% ，同比上升5.08个百分点。</w:t>
      </w:r>
    </w:p>
    <w:p w:rsidR="00B52ADD" w:rsidRPr="000651B2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>上半年，县域车险保费增速下滑份额同比下降，农险和商非业务增速、份额均实现同比提升。</w:t>
      </w:r>
    </w:p>
    <w:p w:rsidR="000651B2" w:rsidRP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365EC2F" wp14:editId="782282B7">
            <wp:extent cx="5375082" cy="3498574"/>
            <wp:effectExtent l="0" t="0" r="16510" b="26035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207F5" w:rsidRDefault="000651B2" w:rsidP="000651B2">
      <w:pPr>
        <w:ind w:firstLineChars="100" w:firstLine="32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三、</w:t>
      </w:r>
      <w:r w:rsidRPr="000651B2">
        <w:rPr>
          <w:rFonts w:ascii="仿宋" w:eastAsia="仿宋" w:hAnsi="仿宋" w:hint="eastAsia"/>
          <w:b/>
          <w:bCs/>
          <w:sz w:val="32"/>
          <w:szCs w:val="32"/>
        </w:rPr>
        <w:t>赔付情况通报</w:t>
      </w:r>
    </w:p>
    <w:p w:rsidR="000651B2" w:rsidRPr="000651B2" w:rsidRDefault="000651B2" w:rsidP="000651B2">
      <w:pPr>
        <w:ind w:leftChars="153" w:left="321" w:firstLineChars="100" w:firstLine="32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0651B2">
        <w:rPr>
          <w:rFonts w:ascii="仿宋" w:eastAsia="仿宋" w:hAnsi="仿宋" w:hint="eastAsia"/>
          <w:b/>
          <w:bCs/>
          <w:sz w:val="32"/>
          <w:szCs w:val="32"/>
        </w:rPr>
        <w:t>赔付率情况</w:t>
      </w:r>
    </w:p>
    <w:p w:rsidR="00B52ADD" w:rsidRPr="000651B2" w:rsidRDefault="00890947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>上半年，丹东财险市场已决赔案45214件，累计支付赔款29505万元，同比减少1971万元，降幅 6.26 %。</w:t>
      </w:r>
    </w:p>
    <w:p w:rsidR="00B52ADD" w:rsidRPr="000651B2" w:rsidRDefault="00890947" w:rsidP="000651B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 xml:space="preserve">财险市场整体赔付率54.99 %，同比下降 0.24 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百</w:t>
      </w:r>
      <w:r w:rsidRPr="000651B2">
        <w:rPr>
          <w:rFonts w:ascii="仿宋" w:eastAsia="仿宋" w:hAnsi="仿宋" w:hint="eastAsia"/>
          <w:sz w:val="32"/>
          <w:szCs w:val="32"/>
        </w:rPr>
        <w:lastRenderedPageBreak/>
        <w:t>分点，赔付率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优于省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均(59.37%) 4.38个百分点。</w:t>
      </w:r>
    </w:p>
    <w:p w:rsidR="00B52ADD" w:rsidRPr="000651B2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>车险已决赔案34006件，累计支付赔款23079万元，同比减少3045万元。</w:t>
      </w:r>
    </w:p>
    <w:p w:rsidR="000651B2" w:rsidRPr="000651B2" w:rsidRDefault="000651B2" w:rsidP="000651B2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>6月末，车险综合赔付率51.68%，同比下降5.21个百分点，丹东车险赔付率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优于省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均(55.66%) 3.97个百分点。</w:t>
      </w:r>
    </w:p>
    <w:p w:rsidR="000651B2" w:rsidRPr="00905CAC" w:rsidRDefault="000651B2" w:rsidP="000651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05CAC">
        <w:rPr>
          <w:rFonts w:ascii="仿宋" w:eastAsia="仿宋" w:hAnsi="仿宋" w:hint="eastAsia"/>
          <w:b/>
          <w:sz w:val="32"/>
          <w:szCs w:val="32"/>
        </w:rPr>
        <w:t>（二）结案率情况</w:t>
      </w:r>
    </w:p>
    <w:p w:rsidR="00B52ADD" w:rsidRPr="000651B2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b/>
          <w:bCs/>
          <w:sz w:val="32"/>
          <w:szCs w:val="32"/>
        </w:rPr>
        <w:t>商业车险</w:t>
      </w:r>
      <w:r w:rsidRPr="000651B2">
        <w:rPr>
          <w:rFonts w:ascii="仿宋" w:eastAsia="仿宋" w:hAnsi="仿宋" w:hint="eastAsia"/>
          <w:sz w:val="32"/>
          <w:szCs w:val="32"/>
        </w:rPr>
        <w:t>：上半年，丹东地区商业车险平均结案率为82.06%，低于省均（82.41%）0.35个百分点，平安、太平洋、中华联合、国寿财、阳光、太平、永安、大地、富邦、中航安盟、英大泰和、华安、浙商、永城、渤海、大家、亚太等17家公司商业车险结案率高于地区平均水平，其中：中航安盟商业车险结案率最高，达到100% 。人保、天安、安华等3家公司商业车险结案率低于市均。</w:t>
      </w:r>
    </w:p>
    <w:p w:rsid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1E3A7B6" wp14:editId="45A5E2B5">
            <wp:extent cx="5271715" cy="3538331"/>
            <wp:effectExtent l="0" t="0" r="24765" b="24130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2ADD" w:rsidRPr="000651B2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0651B2">
        <w:rPr>
          <w:rFonts w:ascii="仿宋" w:eastAsia="仿宋" w:hAnsi="仿宋" w:hint="eastAsia"/>
          <w:b/>
          <w:bCs/>
          <w:sz w:val="32"/>
          <w:szCs w:val="32"/>
        </w:rPr>
        <w:lastRenderedPageBreak/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：上半年，丹东地区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平均结案率为88.72%，高于省均（87.63%）1.09个百分点，全市16家机构（太平洋、中华联合、国寿财、阳光、太平、永安、天安、大地、英大、华安、中航安盟、富邦、大家、永城、渤海、亚太）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结案率高于全市平均水平，其中：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亚太交强险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结案率达到100%。人保、平安、安华、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浙商等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4家公司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结案率低于市均。</w:t>
      </w:r>
    </w:p>
    <w:p w:rsid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BC059FB" wp14:editId="6D48A1E9">
            <wp:extent cx="5271715" cy="2528514"/>
            <wp:effectExtent l="0" t="0" r="24765" b="24765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51B2" w:rsidRPr="00905CAC" w:rsidRDefault="000651B2" w:rsidP="000651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905CAC">
        <w:rPr>
          <w:rFonts w:ascii="仿宋" w:eastAsia="仿宋" w:hAnsi="仿宋" w:hint="eastAsia"/>
          <w:b/>
          <w:sz w:val="32"/>
          <w:szCs w:val="32"/>
        </w:rPr>
        <w:t>（三）结案周期情况</w:t>
      </w:r>
    </w:p>
    <w:p w:rsidR="00B52ADD" w:rsidRPr="000651B2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b/>
          <w:bCs/>
          <w:sz w:val="32"/>
          <w:szCs w:val="32"/>
        </w:rPr>
        <w:t>商业车险</w:t>
      </w:r>
      <w:r w:rsidRPr="000651B2">
        <w:rPr>
          <w:rFonts w:ascii="仿宋" w:eastAsia="仿宋" w:hAnsi="仿宋" w:hint="eastAsia"/>
          <w:sz w:val="32"/>
          <w:szCs w:val="32"/>
        </w:rPr>
        <w:t>：上半年，丹东地区商业车险平均结案周期12.81天，较省均（12.06天）长0.75天，平安、太平洋、中华联合、国寿财、太平、永城、华安、亚太、阳光、富邦、浙商、英大、永安、大地等14家机构商业车险结案周期低于地区平均水平，其中：永城商业车险结案天数最少，仅为3.58天。</w:t>
      </w:r>
    </w:p>
    <w:p w:rsidR="000651B2" w:rsidRP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 xml:space="preserve">   人保、天安、大家、安华、渤海、中航安盟等6家机构商业车险结案周期高于全市平均水平。</w:t>
      </w:r>
    </w:p>
    <w:p w:rsid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4ECA4DBF" wp14:editId="421588DB">
            <wp:extent cx="5351228" cy="2822713"/>
            <wp:effectExtent l="0" t="0" r="20955" b="15875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2ADD" w:rsidRPr="000651B2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0651B2">
        <w:rPr>
          <w:rFonts w:ascii="仿宋" w:eastAsia="仿宋" w:hAnsi="仿宋" w:hint="eastAsia"/>
          <w:b/>
          <w:bCs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0651B2">
        <w:rPr>
          <w:rFonts w:ascii="仿宋" w:eastAsia="仿宋" w:hAnsi="仿宋" w:hint="eastAsia"/>
          <w:sz w:val="32"/>
          <w:szCs w:val="32"/>
        </w:rPr>
        <w:t>上半年，丹东地区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平均结案周期9.78天，较省均（9.34天）长0.44天，太平洋、中华联合、阳光、太平、英大、永城、华安、大地、永安、亚太、大家等11家机构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结案周期低于地区平均水平，其中：永城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结案周期最短，仅为3.91天。</w:t>
      </w:r>
    </w:p>
    <w:p w:rsidR="000651B2" w:rsidRP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 xml:space="preserve">    人保、平安、国寿财、天安、安华、浙商、渤海、富邦、中航安盟等9家机构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结案周期高于全市平均水平。</w:t>
      </w:r>
    </w:p>
    <w:p w:rsid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7B70C768" wp14:editId="309ED572">
            <wp:extent cx="5271715" cy="2989691"/>
            <wp:effectExtent l="0" t="0" r="24765" b="20320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51B2" w:rsidRPr="00905CAC" w:rsidRDefault="000651B2" w:rsidP="00890947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905CAC">
        <w:rPr>
          <w:rFonts w:ascii="仿宋" w:eastAsia="仿宋" w:hAnsi="仿宋" w:hint="eastAsia"/>
          <w:b/>
          <w:sz w:val="32"/>
          <w:szCs w:val="32"/>
        </w:rPr>
        <w:lastRenderedPageBreak/>
        <w:t>费用情况通报</w:t>
      </w:r>
    </w:p>
    <w:p w:rsidR="00B52ADD" w:rsidRPr="000651B2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b/>
          <w:bCs/>
          <w:sz w:val="32"/>
          <w:szCs w:val="32"/>
        </w:rPr>
        <w:t>综合费用率：</w:t>
      </w:r>
      <w:r w:rsidRPr="000651B2">
        <w:rPr>
          <w:rFonts w:ascii="仿宋" w:eastAsia="仿宋" w:hAnsi="仿宋" w:hint="eastAsia"/>
          <w:sz w:val="32"/>
          <w:szCs w:val="32"/>
        </w:rPr>
        <w:t>上半年，丹东地区财险市场综合费用率37.34%，同比上升1.36个百分点，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优于省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均0.74个百分点。其中车险综合费用率40.9%，同比上升5.59个百分点。</w:t>
      </w:r>
    </w:p>
    <w:p w:rsidR="00B52ADD" w:rsidRPr="000651B2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b/>
          <w:bCs/>
          <w:sz w:val="32"/>
          <w:szCs w:val="32"/>
        </w:rPr>
        <w:t>手续费率：</w:t>
      </w:r>
      <w:r w:rsidRPr="000651B2">
        <w:rPr>
          <w:rFonts w:ascii="仿宋" w:eastAsia="仿宋" w:hAnsi="仿宋" w:hint="eastAsia"/>
          <w:sz w:val="32"/>
          <w:szCs w:val="32"/>
        </w:rPr>
        <w:t xml:space="preserve"> 上半年， 行业整体手续费率13.39%，同比（14.4%）下降1.01个百分点。商业车险手续费率21%,同比 同比（ 20.7% ）上升0.3个百分点，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手续费率3.4%，</w:t>
      </w:r>
      <w:proofErr w:type="gramStart"/>
      <w:r w:rsidRPr="000651B2">
        <w:rPr>
          <w:rFonts w:ascii="仿宋" w:eastAsia="仿宋" w:hAnsi="仿宋" w:hint="eastAsia"/>
          <w:sz w:val="32"/>
          <w:szCs w:val="32"/>
        </w:rPr>
        <w:t>商非手续费</w:t>
      </w:r>
      <w:proofErr w:type="gramEnd"/>
      <w:r w:rsidRPr="000651B2">
        <w:rPr>
          <w:rFonts w:ascii="仿宋" w:eastAsia="仿宋" w:hAnsi="仿宋" w:hint="eastAsia"/>
          <w:sz w:val="32"/>
          <w:szCs w:val="32"/>
        </w:rPr>
        <w:t>率10.51%。</w:t>
      </w:r>
    </w:p>
    <w:p w:rsidR="00B52ADD" w:rsidRPr="000651B2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b/>
          <w:bCs/>
          <w:sz w:val="32"/>
          <w:szCs w:val="32"/>
        </w:rPr>
        <w:t>活跃费用：</w:t>
      </w:r>
      <w:r w:rsidRPr="000651B2">
        <w:rPr>
          <w:rFonts w:ascii="仿宋" w:eastAsia="仿宋" w:hAnsi="仿宋" w:hint="eastAsia"/>
          <w:sz w:val="32"/>
          <w:szCs w:val="32"/>
        </w:rPr>
        <w:t>上半年，丹东地区财险市场活跃费用投入总量8470万元（13项活跃费用指标），同比增加955万。其中：</w:t>
      </w:r>
    </w:p>
    <w:p w:rsidR="00B52ADD" w:rsidRPr="000651B2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>活跃费用额增长率</w:t>
      </w:r>
      <w:r w:rsidR="007E024A">
        <w:rPr>
          <w:rFonts w:ascii="仿宋" w:eastAsia="仿宋" w:hAnsi="仿宋" w:hint="eastAsia"/>
          <w:sz w:val="32"/>
          <w:szCs w:val="32"/>
        </w:rPr>
        <w:t>：</w:t>
      </w:r>
      <w:r w:rsidRPr="000651B2">
        <w:rPr>
          <w:rFonts w:ascii="仿宋" w:eastAsia="仿宋" w:hAnsi="仿宋" w:hint="eastAsia"/>
          <w:sz w:val="32"/>
          <w:szCs w:val="32"/>
        </w:rPr>
        <w:t>12.7%，低于保费收入增长率（17.59%）4.89个百分点（活跃费用增长率与保费收入增长率偏离度-4.89%）</w:t>
      </w:r>
    </w:p>
    <w:p w:rsidR="00B52ADD" w:rsidRPr="000651B2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51B2">
        <w:rPr>
          <w:rFonts w:ascii="仿宋" w:eastAsia="仿宋" w:hAnsi="仿宋" w:hint="eastAsia"/>
          <w:sz w:val="32"/>
          <w:szCs w:val="32"/>
        </w:rPr>
        <w:t>活跃费用率</w:t>
      </w:r>
      <w:r w:rsidR="007E024A">
        <w:rPr>
          <w:rFonts w:ascii="仿宋" w:eastAsia="仿宋" w:hAnsi="仿宋" w:hint="eastAsia"/>
          <w:sz w:val="32"/>
          <w:szCs w:val="32"/>
        </w:rPr>
        <w:t>：</w:t>
      </w:r>
      <w:r w:rsidRPr="000651B2">
        <w:rPr>
          <w:rFonts w:ascii="仿宋" w:eastAsia="仿宋" w:hAnsi="仿宋" w:hint="eastAsia"/>
          <w:sz w:val="32"/>
          <w:szCs w:val="32"/>
        </w:rPr>
        <w:t xml:space="preserve">10.13%，同比（10.56%）下降0.43个百分点，较近三年平均水平高0.21个百分点（活跃费用率与近三年同期平均值偏离度0.21%）。    </w:t>
      </w:r>
    </w:p>
    <w:p w:rsidR="000651B2" w:rsidRPr="00905CAC" w:rsidRDefault="007E024A" w:rsidP="00890947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905CAC">
        <w:rPr>
          <w:rFonts w:ascii="仿宋" w:eastAsia="仿宋" w:hAnsi="仿宋"/>
          <w:b/>
          <w:sz w:val="32"/>
          <w:szCs w:val="32"/>
        </w:rPr>
        <w:t>盈利情况通报</w:t>
      </w:r>
    </w:p>
    <w:p w:rsidR="007E024A" w:rsidRPr="007E024A" w:rsidRDefault="007E024A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sz w:val="32"/>
          <w:szCs w:val="32"/>
        </w:rPr>
        <w:t>上半年，丹东地区财险市场综合成本率92.33%，同比上升1.12个百分点，其中：赔付率同比下降0.24%，费用率同比上升1.36%。6月末，丹东地区综合成本率</w:t>
      </w:r>
      <w:proofErr w:type="gramStart"/>
      <w:r w:rsidRPr="007E024A">
        <w:rPr>
          <w:rFonts w:ascii="仿宋" w:eastAsia="仿宋" w:hAnsi="仿宋" w:hint="eastAsia"/>
          <w:sz w:val="32"/>
          <w:szCs w:val="32"/>
        </w:rPr>
        <w:t>优于省</w:t>
      </w:r>
      <w:proofErr w:type="gramEnd"/>
      <w:r w:rsidRPr="007E024A">
        <w:rPr>
          <w:rFonts w:ascii="仿宋" w:eastAsia="仿宋" w:hAnsi="仿宋" w:hint="eastAsia"/>
          <w:sz w:val="32"/>
          <w:szCs w:val="32"/>
        </w:rPr>
        <w:t>均（97.46%）5.13个百分点。</w:t>
      </w:r>
    </w:p>
    <w:p w:rsidR="007E024A" w:rsidRPr="007E024A" w:rsidRDefault="007E024A" w:rsidP="00890947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主体盈利情况</w:t>
      </w:r>
    </w:p>
    <w:p w:rsidR="007E024A" w:rsidRPr="007E024A" w:rsidRDefault="007E024A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sz w:val="32"/>
          <w:szCs w:val="32"/>
        </w:rPr>
        <w:lastRenderedPageBreak/>
        <w:t>上半年，全市20家财</w:t>
      </w:r>
      <w:proofErr w:type="gramStart"/>
      <w:r w:rsidRPr="007E024A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Pr="007E024A">
        <w:rPr>
          <w:rFonts w:ascii="仿宋" w:eastAsia="仿宋" w:hAnsi="仿宋" w:hint="eastAsia"/>
          <w:sz w:val="32"/>
          <w:szCs w:val="32"/>
        </w:rPr>
        <w:t>中，人保、平安、太平洋、国寿财、华安、太平、永城、英大、渤海、天安、永安、阳光12家机构实现承保盈利。其中：人保、平安、太平洋、国寿财、华安、太平、永城、英大、渤海9家机构综合成本率优于行业。人保、平安、太平洋利润贡献度全市排名前三位，中华、大地、富邦、浙商、大家、亚太、中航安盟、安华农业等8家机构综合成本率超百。</w:t>
      </w:r>
    </w:p>
    <w:p w:rsidR="007E024A" w:rsidRDefault="007E024A" w:rsidP="007E024A">
      <w:pPr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21C0623" wp14:editId="48243BC4">
            <wp:extent cx="5327374" cy="2918128"/>
            <wp:effectExtent l="0" t="0" r="26035" b="15875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E024A" w:rsidRDefault="007E024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890947" w:rsidRPr="007E024A">
        <w:rPr>
          <w:rFonts w:ascii="仿宋" w:eastAsia="仿宋" w:hAnsi="仿宋" w:hint="eastAsia"/>
          <w:b/>
          <w:bCs/>
          <w:sz w:val="32"/>
          <w:szCs w:val="32"/>
        </w:rPr>
        <w:t>车险盈利情况</w:t>
      </w:r>
    </w:p>
    <w:p w:rsidR="00B52ADD" w:rsidRPr="007E024A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sz w:val="32"/>
          <w:szCs w:val="32"/>
        </w:rPr>
        <w:t>上半年，丹东地区车险市场综合成本率92.59%，同比上升0.38个百分点，</w:t>
      </w:r>
      <w:proofErr w:type="gramStart"/>
      <w:r w:rsidRPr="007E024A">
        <w:rPr>
          <w:rFonts w:ascii="仿宋" w:eastAsia="仿宋" w:hAnsi="仿宋" w:hint="eastAsia"/>
          <w:sz w:val="32"/>
          <w:szCs w:val="32"/>
        </w:rPr>
        <w:t>优于省</w:t>
      </w:r>
      <w:proofErr w:type="gramEnd"/>
      <w:r w:rsidRPr="007E024A">
        <w:rPr>
          <w:rFonts w:ascii="仿宋" w:eastAsia="仿宋" w:hAnsi="仿宋" w:hint="eastAsia"/>
          <w:sz w:val="32"/>
          <w:szCs w:val="32"/>
        </w:rPr>
        <w:t>均3.68个百分点。其中：赔付率51.68%，同比下降5.21个PT；费用率40.9%，同比上升5.59个PT。</w:t>
      </w:r>
    </w:p>
    <w:p w:rsidR="00B52ADD" w:rsidRPr="007E024A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sz w:val="32"/>
          <w:szCs w:val="32"/>
        </w:rPr>
        <w:t>商业车险综合成本率93.97%，</w:t>
      </w:r>
      <w:proofErr w:type="gramStart"/>
      <w:r w:rsidRPr="007E024A">
        <w:rPr>
          <w:rFonts w:ascii="仿宋" w:eastAsia="仿宋" w:hAnsi="仿宋" w:hint="eastAsia"/>
          <w:sz w:val="32"/>
          <w:szCs w:val="32"/>
        </w:rPr>
        <w:t>交强险综合</w:t>
      </w:r>
      <w:proofErr w:type="gramEnd"/>
      <w:r w:rsidRPr="007E024A">
        <w:rPr>
          <w:rFonts w:ascii="仿宋" w:eastAsia="仿宋" w:hAnsi="仿宋" w:hint="eastAsia"/>
          <w:sz w:val="32"/>
          <w:szCs w:val="32"/>
        </w:rPr>
        <w:t>成本率88.3%，上半年，商业、</w:t>
      </w:r>
      <w:proofErr w:type="gramStart"/>
      <w:r w:rsidRPr="007E024A">
        <w:rPr>
          <w:rFonts w:ascii="仿宋" w:eastAsia="仿宋" w:hAnsi="仿宋" w:hint="eastAsia"/>
          <w:sz w:val="32"/>
          <w:szCs w:val="32"/>
        </w:rPr>
        <w:t>交强双双</w:t>
      </w:r>
      <w:proofErr w:type="gramEnd"/>
      <w:r w:rsidRPr="007E024A">
        <w:rPr>
          <w:rFonts w:ascii="仿宋" w:eastAsia="仿宋" w:hAnsi="仿宋" w:hint="eastAsia"/>
          <w:sz w:val="32"/>
          <w:szCs w:val="32"/>
        </w:rPr>
        <w:t>实现承保盈利。</w:t>
      </w:r>
    </w:p>
    <w:p w:rsidR="007E024A" w:rsidRPr="007E024A" w:rsidRDefault="007E024A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sz w:val="32"/>
          <w:szCs w:val="32"/>
        </w:rPr>
        <w:t>20家财</w:t>
      </w:r>
      <w:proofErr w:type="gramStart"/>
      <w:r w:rsidRPr="007E024A">
        <w:rPr>
          <w:rFonts w:ascii="仿宋" w:eastAsia="仿宋" w:hAnsi="仿宋" w:hint="eastAsia"/>
          <w:sz w:val="32"/>
          <w:szCs w:val="32"/>
        </w:rPr>
        <w:t>险主体</w:t>
      </w:r>
      <w:proofErr w:type="gramEnd"/>
      <w:r w:rsidRPr="007E024A">
        <w:rPr>
          <w:rFonts w:ascii="仿宋" w:eastAsia="仿宋" w:hAnsi="仿宋" w:hint="eastAsia"/>
          <w:sz w:val="32"/>
          <w:szCs w:val="32"/>
        </w:rPr>
        <w:t>中：人保、太平洋、平安、中华联合、国</w:t>
      </w:r>
      <w:r w:rsidRPr="007E024A">
        <w:rPr>
          <w:rFonts w:ascii="仿宋" w:eastAsia="仿宋" w:hAnsi="仿宋" w:hint="eastAsia"/>
          <w:sz w:val="32"/>
          <w:szCs w:val="32"/>
        </w:rPr>
        <w:lastRenderedPageBreak/>
        <w:t>寿财、阳光、太平、华安、永安、永城、英大、亚太、中航安盟、渤海、天安15家机构车险实现承保盈利，大地、大家、富邦、浙商、安华等5家公司车险综合成本率超百，车险经营亏损。</w:t>
      </w:r>
    </w:p>
    <w:p w:rsidR="007E024A" w:rsidRDefault="007E024A" w:rsidP="007E024A">
      <w:pPr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1635134" wp14:editId="1A2F216E">
            <wp:extent cx="5390984" cy="2560320"/>
            <wp:effectExtent l="0" t="0" r="19685" b="1143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E024A" w:rsidRPr="007E024A" w:rsidRDefault="007E024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="00890947" w:rsidRPr="007E024A">
        <w:rPr>
          <w:rFonts w:ascii="仿宋" w:eastAsia="仿宋" w:hAnsi="仿宋" w:hint="eastAsia"/>
          <w:b/>
          <w:bCs/>
          <w:sz w:val="32"/>
          <w:szCs w:val="32"/>
        </w:rPr>
        <w:t>农险盈利情况</w:t>
      </w:r>
    </w:p>
    <w:p w:rsidR="00B52ADD" w:rsidRPr="007E024A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sz w:val="32"/>
          <w:szCs w:val="32"/>
        </w:rPr>
        <w:t>上半年，丹东财险市场农险综合成本率62.66%，同比（45.97%）上升16.69个百分点。</w:t>
      </w:r>
    </w:p>
    <w:p w:rsidR="00B52ADD" w:rsidRDefault="007E024A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</w:t>
      </w:r>
      <w:r w:rsidR="00890947" w:rsidRPr="007E024A">
        <w:rPr>
          <w:rFonts w:ascii="仿宋" w:eastAsia="仿宋" w:hAnsi="仿宋" w:hint="eastAsia"/>
          <w:sz w:val="32"/>
          <w:szCs w:val="32"/>
        </w:rPr>
        <w:t>主体</w:t>
      </w:r>
      <w:r>
        <w:rPr>
          <w:rFonts w:ascii="仿宋" w:eastAsia="仿宋" w:hAnsi="仿宋" w:hint="eastAsia"/>
          <w:sz w:val="32"/>
          <w:szCs w:val="32"/>
        </w:rPr>
        <w:t>情况看</w:t>
      </w:r>
      <w:r w:rsidR="00890947" w:rsidRPr="007E024A">
        <w:rPr>
          <w:rFonts w:ascii="仿宋" w:eastAsia="仿宋" w:hAnsi="仿宋" w:hint="eastAsia"/>
          <w:sz w:val="32"/>
          <w:szCs w:val="32"/>
        </w:rPr>
        <w:t>：经营农险业务的6家公司中：人保、太平洋、中华联合、国寿财4家公司农险承保盈利；安华农业、中航安盟2家公司农险综合成本率超百。</w:t>
      </w:r>
    </w:p>
    <w:p w:rsidR="007E024A" w:rsidRPr="007E024A" w:rsidRDefault="007E024A" w:rsidP="007E024A">
      <w:pPr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552FD5B" wp14:editId="2BCE46CE">
            <wp:extent cx="5279666" cy="2210463"/>
            <wp:effectExtent l="0" t="0" r="16510" b="18415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52ADD" w:rsidRDefault="007E024A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从</w:t>
      </w:r>
      <w:r w:rsidR="00890947" w:rsidRPr="007E024A">
        <w:rPr>
          <w:rFonts w:ascii="仿宋" w:eastAsia="仿宋" w:hAnsi="仿宋" w:hint="eastAsia"/>
          <w:sz w:val="32"/>
          <w:szCs w:val="32"/>
        </w:rPr>
        <w:t>险种</w:t>
      </w:r>
      <w:r>
        <w:rPr>
          <w:rFonts w:ascii="仿宋" w:eastAsia="仿宋" w:hAnsi="仿宋" w:hint="eastAsia"/>
          <w:sz w:val="32"/>
          <w:szCs w:val="32"/>
        </w:rPr>
        <w:t>情况</w:t>
      </w:r>
      <w:r w:rsidR="00890947" w:rsidRPr="007E024A">
        <w:rPr>
          <w:rFonts w:ascii="仿宋" w:eastAsia="仿宋" w:hAnsi="仿宋" w:hint="eastAsia"/>
          <w:sz w:val="32"/>
          <w:szCs w:val="32"/>
        </w:rPr>
        <w:t>：上半年由于种植险刚刚签单无发案，且各险种工作经费尚未支付，虽养殖险赔付率高达84.67%，但种植险、森林险、养殖险三个险种仍均实现盈利。</w:t>
      </w:r>
    </w:p>
    <w:p w:rsidR="007E024A" w:rsidRDefault="007E024A" w:rsidP="007E024A">
      <w:pPr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8291DDF" wp14:editId="7C6BC06F">
            <wp:extent cx="5271715" cy="2488758"/>
            <wp:effectExtent l="0" t="0" r="24765" b="26035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024A" w:rsidRDefault="007E024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="00890947" w:rsidRPr="007E024A">
        <w:rPr>
          <w:rFonts w:ascii="仿宋" w:eastAsia="仿宋" w:hAnsi="仿宋" w:hint="eastAsia"/>
          <w:b/>
          <w:bCs/>
          <w:sz w:val="32"/>
          <w:szCs w:val="32"/>
        </w:rPr>
        <w:t>商非盈利情况</w:t>
      </w:r>
    </w:p>
    <w:p w:rsidR="00B52ADD" w:rsidRPr="007E024A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sz w:val="32"/>
          <w:szCs w:val="32"/>
        </w:rPr>
        <w:t>上半年，市场商非业务综合成本率79.09%。从险种情况看，企财、责任、货运、意健、工程、信用、船舶</w:t>
      </w:r>
      <w:proofErr w:type="gramStart"/>
      <w:r w:rsidRPr="007E024A">
        <w:rPr>
          <w:rFonts w:ascii="仿宋" w:eastAsia="仿宋" w:hAnsi="仿宋" w:hint="eastAsia"/>
          <w:sz w:val="32"/>
          <w:szCs w:val="32"/>
        </w:rPr>
        <w:t>险实现</w:t>
      </w:r>
      <w:proofErr w:type="gramEnd"/>
      <w:r w:rsidRPr="007E024A">
        <w:rPr>
          <w:rFonts w:ascii="仿宋" w:eastAsia="仿宋" w:hAnsi="仿宋" w:hint="eastAsia"/>
          <w:sz w:val="32"/>
          <w:szCs w:val="32"/>
        </w:rPr>
        <w:t>承保盈利；家财险、保证</w:t>
      </w:r>
      <w:proofErr w:type="gramStart"/>
      <w:r w:rsidRPr="007E024A">
        <w:rPr>
          <w:rFonts w:ascii="仿宋" w:eastAsia="仿宋" w:hAnsi="仿宋" w:hint="eastAsia"/>
          <w:sz w:val="32"/>
          <w:szCs w:val="32"/>
        </w:rPr>
        <w:t>险综合</w:t>
      </w:r>
      <w:proofErr w:type="gramEnd"/>
      <w:r w:rsidRPr="007E024A">
        <w:rPr>
          <w:rFonts w:ascii="仿宋" w:eastAsia="仿宋" w:hAnsi="仿宋" w:hint="eastAsia"/>
          <w:sz w:val="32"/>
          <w:szCs w:val="32"/>
        </w:rPr>
        <w:t>成本率超百，承保亏损。</w:t>
      </w:r>
    </w:p>
    <w:p w:rsidR="007E024A" w:rsidRPr="007E024A" w:rsidRDefault="007E024A" w:rsidP="007E024A">
      <w:pPr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660D9FE" wp14:editId="2C97C3AF">
            <wp:extent cx="5231958" cy="3379304"/>
            <wp:effectExtent l="0" t="0" r="26035" b="12065"/>
            <wp:docPr id="29" name="图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52ADD" w:rsidRPr="007E024A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sz w:val="32"/>
          <w:szCs w:val="32"/>
        </w:rPr>
        <w:lastRenderedPageBreak/>
        <w:t>从各主体商非业务情况看，全市20家财险公司中人保、太平洋、平安、国寿财、天安、华安、太平、永城、渤海、安华、英大、浙商、中航安盟、富邦等14家公司商非实现承保盈利；中华、大地、永安、大家、阳光、亚太等6家公司商非综合成本率超百。</w:t>
      </w:r>
    </w:p>
    <w:p w:rsidR="007E024A" w:rsidRDefault="007E024A" w:rsidP="007E024A">
      <w:pPr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E11C8EE" wp14:editId="3B5643FA">
            <wp:extent cx="5271715" cy="2838616"/>
            <wp:effectExtent l="0" t="0" r="24765" b="19050"/>
            <wp:docPr id="30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E024A" w:rsidRPr="001B5487" w:rsidRDefault="007E024A" w:rsidP="00890947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1B5487">
        <w:rPr>
          <w:rFonts w:ascii="仿宋" w:eastAsia="仿宋" w:hAnsi="仿宋" w:hint="eastAsia"/>
          <w:b/>
          <w:bCs/>
          <w:sz w:val="32"/>
          <w:szCs w:val="32"/>
        </w:rPr>
        <w:t>市场综述</w:t>
      </w:r>
    </w:p>
    <w:p w:rsidR="007E024A" w:rsidRPr="001B5487" w:rsidRDefault="007E024A" w:rsidP="001B548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5487">
        <w:rPr>
          <w:rFonts w:ascii="仿宋" w:eastAsia="仿宋" w:hAnsi="仿宋" w:hint="eastAsia"/>
          <w:b/>
          <w:bCs/>
          <w:sz w:val="32"/>
          <w:szCs w:val="32"/>
        </w:rPr>
        <w:t>（一）市场运行总体平稳</w:t>
      </w:r>
    </w:p>
    <w:p w:rsidR="007E024A" w:rsidRPr="001B5487" w:rsidRDefault="007E024A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 xml:space="preserve"> 整体保费收入持续增长，行业增速同比提升，且高于全省平均水平。</w:t>
      </w:r>
    </w:p>
    <w:p w:rsidR="007E024A" w:rsidRPr="001B5487" w:rsidRDefault="007E024A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上半年，受疫情和异地返税政策影响，车险业务份额下降，增速下滑，但农险和商非业务增速较快，弥补了行业整体业务下滑态势，拉动了行业整体增速。</w:t>
      </w:r>
    </w:p>
    <w:p w:rsidR="007E024A" w:rsidRPr="007E024A" w:rsidRDefault="007E024A" w:rsidP="00890947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市场集中度进一步提高</w:t>
      </w:r>
    </w:p>
    <w:p w:rsidR="007E024A" w:rsidRPr="001B5487" w:rsidRDefault="007E024A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人保、太平洋、平安、中华联合4家公司的市场份额合计达到76.69%，较上年同期提升了</w:t>
      </w:r>
      <w:r w:rsidRPr="001B5487">
        <w:rPr>
          <w:rFonts w:ascii="仿宋" w:eastAsia="仿宋" w:hAnsi="仿宋" w:hint="eastAsia"/>
          <w:bCs/>
          <w:sz w:val="32"/>
          <w:szCs w:val="32"/>
        </w:rPr>
        <w:t>2.38</w:t>
      </w:r>
      <w:r w:rsidRPr="001B5487">
        <w:rPr>
          <w:rFonts w:ascii="仿宋" w:eastAsia="仿宋" w:hAnsi="仿宋" w:hint="eastAsia"/>
          <w:sz w:val="32"/>
          <w:szCs w:val="32"/>
        </w:rPr>
        <w:t>个百分点，市场集</w:t>
      </w:r>
      <w:r w:rsidRPr="001B5487">
        <w:rPr>
          <w:rFonts w:ascii="仿宋" w:eastAsia="仿宋" w:hAnsi="仿宋" w:hint="eastAsia"/>
          <w:sz w:val="32"/>
          <w:szCs w:val="32"/>
        </w:rPr>
        <w:lastRenderedPageBreak/>
        <w:t>中度进一步提升。</w:t>
      </w:r>
    </w:p>
    <w:p w:rsidR="007E024A" w:rsidRPr="007E024A" w:rsidRDefault="007E024A" w:rsidP="00890947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消费理念逐步成熟</w:t>
      </w:r>
    </w:p>
    <w:p w:rsidR="007E024A" w:rsidRPr="001B5487" w:rsidRDefault="007E024A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上半年，</w:t>
      </w:r>
      <w:proofErr w:type="gramStart"/>
      <w:r w:rsidRPr="001B5487">
        <w:rPr>
          <w:rFonts w:ascii="仿宋" w:eastAsia="仿宋" w:hAnsi="仿宋" w:hint="eastAsia"/>
          <w:sz w:val="32"/>
          <w:szCs w:val="32"/>
        </w:rPr>
        <w:t>商非业务中意健险保费</w:t>
      </w:r>
      <w:proofErr w:type="gramEnd"/>
      <w:r w:rsidRPr="001B5487">
        <w:rPr>
          <w:rFonts w:ascii="仿宋" w:eastAsia="仿宋" w:hAnsi="仿宋" w:hint="eastAsia"/>
          <w:sz w:val="32"/>
          <w:szCs w:val="32"/>
        </w:rPr>
        <w:t>11529万，增速高达213.18%,保费同比增加7848万，增速同比提升173.93个百分点，成为除车险、农险外的第三大险种，除城乡居民大病保险、扶贫保险的承办，进一步说明人们的健康投保意识在不断增强。</w:t>
      </w:r>
    </w:p>
    <w:p w:rsidR="007E024A" w:rsidRPr="007E024A" w:rsidRDefault="007E024A" w:rsidP="007E024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（四）服务三</w:t>
      </w:r>
      <w:proofErr w:type="gramStart"/>
      <w:r w:rsidRPr="007E024A">
        <w:rPr>
          <w:rFonts w:ascii="仿宋" w:eastAsia="仿宋" w:hAnsi="仿宋" w:hint="eastAsia"/>
          <w:b/>
          <w:bCs/>
          <w:sz w:val="32"/>
          <w:szCs w:val="32"/>
        </w:rPr>
        <w:t>农成效</w:t>
      </w:r>
      <w:proofErr w:type="gramEnd"/>
      <w:r w:rsidRPr="007E024A">
        <w:rPr>
          <w:rFonts w:ascii="仿宋" w:eastAsia="仿宋" w:hAnsi="仿宋" w:hint="eastAsia"/>
          <w:b/>
          <w:bCs/>
          <w:sz w:val="32"/>
          <w:szCs w:val="32"/>
        </w:rPr>
        <w:t>显著</w:t>
      </w:r>
    </w:p>
    <w:p w:rsidR="007E024A" w:rsidRPr="001B5487" w:rsidRDefault="007E024A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上半年，农险保费16206万，增速31.73%。新增食用菌保费1400多万，拉动了农险整体增速，实现了农业保险</w:t>
      </w:r>
      <w:proofErr w:type="gramStart"/>
      <w:r w:rsidRPr="001B5487">
        <w:rPr>
          <w:rFonts w:ascii="仿宋" w:eastAsia="仿宋" w:hAnsi="仿宋" w:hint="eastAsia"/>
          <w:sz w:val="32"/>
          <w:szCs w:val="32"/>
        </w:rPr>
        <w:t>增品扩面</w:t>
      </w:r>
      <w:proofErr w:type="gramEnd"/>
      <w:r w:rsidRPr="001B5487">
        <w:rPr>
          <w:rFonts w:ascii="仿宋" w:eastAsia="仿宋" w:hAnsi="仿宋" w:hint="eastAsia"/>
          <w:sz w:val="32"/>
          <w:szCs w:val="32"/>
        </w:rPr>
        <w:t>。为支持国家“乡村振兴”战略实施，为农业发展、农民增收、农村建设提供有效保障。</w:t>
      </w:r>
    </w:p>
    <w:p w:rsidR="007E024A" w:rsidRPr="007E024A" w:rsidRDefault="007E024A" w:rsidP="007E024A">
      <w:pPr>
        <w:ind w:left="645"/>
        <w:rPr>
          <w:rFonts w:ascii="仿宋" w:eastAsia="仿宋" w:hAnsi="仿宋"/>
          <w:b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（五）盈利能力持续提升</w:t>
      </w:r>
    </w:p>
    <w:p w:rsidR="007E024A" w:rsidRPr="001B5487" w:rsidRDefault="007E024A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上半年，行业综合成本率92.</w:t>
      </w:r>
      <w:r w:rsidR="00605B0F">
        <w:rPr>
          <w:rFonts w:ascii="仿宋" w:eastAsia="仿宋" w:hAnsi="仿宋" w:hint="eastAsia"/>
          <w:sz w:val="32"/>
          <w:szCs w:val="32"/>
        </w:rPr>
        <w:t>33</w:t>
      </w:r>
      <w:r w:rsidRPr="001B5487">
        <w:rPr>
          <w:rFonts w:ascii="仿宋" w:eastAsia="仿宋" w:hAnsi="仿宋" w:hint="eastAsia"/>
          <w:sz w:val="32"/>
          <w:szCs w:val="32"/>
        </w:rPr>
        <w:t>%，优于省均</w:t>
      </w:r>
      <w:r w:rsidR="001D554A">
        <w:rPr>
          <w:rFonts w:ascii="仿宋" w:eastAsia="仿宋" w:hAnsi="仿宋" w:hint="eastAsia"/>
          <w:sz w:val="32"/>
          <w:szCs w:val="32"/>
        </w:rPr>
        <w:t>5.13</w:t>
      </w:r>
      <w:r w:rsidRPr="001B5487">
        <w:rPr>
          <w:rFonts w:ascii="仿宋" w:eastAsia="仿宋" w:hAnsi="仿宋" w:hint="eastAsia"/>
          <w:sz w:val="32"/>
          <w:szCs w:val="32"/>
        </w:rPr>
        <w:t>个百分点，且车险、农险、商非三大板块均实现承保盈利。</w:t>
      </w:r>
    </w:p>
    <w:p w:rsidR="007E024A" w:rsidRPr="007E024A" w:rsidRDefault="007E024A" w:rsidP="007E024A">
      <w:pPr>
        <w:ind w:left="645"/>
        <w:rPr>
          <w:rFonts w:ascii="仿宋" w:eastAsia="仿宋" w:hAnsi="仿宋"/>
          <w:b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（六）科技赋能,引导客户线上化</w:t>
      </w:r>
    </w:p>
    <w:p w:rsidR="007E024A" w:rsidRPr="001B5487" w:rsidRDefault="007E024A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疫情防控期间，各财险机构积极落实金融扶持政策，在“在线投保、自助理赔”上发力。一是引导销售队伍通过线上平台办理业务，借助线上平台完成在线投保，保障疫情期间各项业务正常开展；二是进一步简化理赔程序，增加线上理赔，通过保险APP、客服电话、</w:t>
      </w:r>
      <w:proofErr w:type="gramStart"/>
      <w:r w:rsidRPr="001B5487">
        <w:rPr>
          <w:rFonts w:ascii="仿宋" w:eastAsia="仿宋" w:hAnsi="仿宋" w:hint="eastAsia"/>
          <w:sz w:val="32"/>
          <w:szCs w:val="32"/>
        </w:rPr>
        <w:t>微信服务</w:t>
      </w:r>
      <w:proofErr w:type="gramEnd"/>
      <w:r w:rsidRPr="001B5487">
        <w:rPr>
          <w:rFonts w:ascii="仿宋" w:eastAsia="仿宋" w:hAnsi="仿宋" w:hint="eastAsia"/>
          <w:sz w:val="32"/>
          <w:szCs w:val="32"/>
        </w:rPr>
        <w:t>等全天候提供保险服务。</w:t>
      </w:r>
    </w:p>
    <w:p w:rsidR="007E024A" w:rsidRPr="007E024A" w:rsidRDefault="007E024A" w:rsidP="00890947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7E024A">
        <w:rPr>
          <w:rFonts w:ascii="仿宋" w:eastAsia="仿宋" w:hAnsi="仿宋"/>
          <w:b/>
          <w:sz w:val="32"/>
          <w:szCs w:val="32"/>
        </w:rPr>
        <w:lastRenderedPageBreak/>
        <w:t>车险自律工作</w:t>
      </w:r>
    </w:p>
    <w:p w:rsidR="007E024A" w:rsidRPr="007E024A" w:rsidRDefault="007E024A" w:rsidP="007E024A">
      <w:pPr>
        <w:ind w:firstLineChars="100" w:firstLine="321"/>
        <w:rPr>
          <w:rFonts w:ascii="仿宋" w:eastAsia="仿宋" w:hAnsi="仿宋"/>
          <w:b/>
          <w:sz w:val="32"/>
          <w:szCs w:val="32"/>
        </w:rPr>
      </w:pPr>
      <w:r w:rsidRPr="007E024A">
        <w:rPr>
          <w:rFonts w:ascii="仿宋" w:eastAsia="仿宋" w:hAnsi="仿宋" w:hint="eastAsia"/>
          <w:b/>
          <w:bCs/>
          <w:sz w:val="32"/>
          <w:szCs w:val="32"/>
        </w:rPr>
        <w:t>（一）组织领导</w:t>
      </w:r>
    </w:p>
    <w:p w:rsidR="007E024A" w:rsidRPr="001B5487" w:rsidRDefault="007E024A" w:rsidP="007E024A">
      <w:pPr>
        <w:rPr>
          <w:rFonts w:ascii="仿宋" w:eastAsia="仿宋" w:hAnsi="仿宋"/>
          <w:sz w:val="32"/>
          <w:szCs w:val="32"/>
        </w:rPr>
      </w:pPr>
      <w:r w:rsidRPr="007E024A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1B5487">
        <w:rPr>
          <w:rFonts w:ascii="仿宋" w:eastAsia="仿宋" w:hAnsi="仿宋" w:hint="eastAsia"/>
          <w:sz w:val="32"/>
          <w:szCs w:val="32"/>
        </w:rPr>
        <w:t>认真落实</w:t>
      </w:r>
      <w:proofErr w:type="gramStart"/>
      <w:r w:rsidRPr="001B5487">
        <w:rPr>
          <w:rFonts w:ascii="仿宋" w:eastAsia="仿宋" w:hAnsi="仿宋" w:hint="eastAsia"/>
          <w:sz w:val="32"/>
          <w:szCs w:val="32"/>
        </w:rPr>
        <w:t>省协会</w:t>
      </w:r>
      <w:proofErr w:type="gramEnd"/>
      <w:r w:rsidRPr="001B5487">
        <w:rPr>
          <w:rFonts w:ascii="仿宋" w:eastAsia="仿宋" w:hAnsi="仿宋" w:hint="eastAsia"/>
          <w:sz w:val="32"/>
          <w:szCs w:val="32"/>
        </w:rPr>
        <w:t>自律工作会议精神，积极组织学习车险自律相关文件，及时成立丹东地区车险自律执行委员会，制定丹东地区车险自律工作方案，安排落实丹东地区车险自律工作。</w:t>
      </w:r>
    </w:p>
    <w:p w:rsidR="007E024A" w:rsidRPr="00BF63F8" w:rsidRDefault="00BF63F8" w:rsidP="00BF63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7E024A" w:rsidRPr="00BF63F8">
        <w:rPr>
          <w:rFonts w:ascii="仿宋" w:eastAsia="仿宋" w:hAnsi="仿宋" w:hint="eastAsia"/>
          <w:b/>
          <w:bCs/>
          <w:sz w:val="32"/>
          <w:szCs w:val="32"/>
        </w:rPr>
        <w:t>日常工作</w:t>
      </w:r>
    </w:p>
    <w:p w:rsidR="00B52ADD" w:rsidRPr="001B5487" w:rsidRDefault="007E024A" w:rsidP="001B548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890947" w:rsidRPr="001B5487">
        <w:rPr>
          <w:rFonts w:ascii="仿宋" w:eastAsia="仿宋" w:hAnsi="仿宋" w:hint="eastAsia"/>
          <w:b/>
          <w:bCs/>
          <w:sz w:val="32"/>
          <w:szCs w:val="32"/>
        </w:rPr>
        <w:t>利用信息手段进行自律督导。</w:t>
      </w:r>
      <w:r w:rsidR="00890947" w:rsidRPr="001B5487">
        <w:rPr>
          <w:rFonts w:ascii="仿宋" w:eastAsia="仿宋" w:hAnsi="仿宋" w:hint="eastAsia"/>
          <w:sz w:val="32"/>
          <w:szCs w:val="32"/>
        </w:rPr>
        <w:t>在节假日及关键时间节点（包括五一、端午、六一、七一、月初、月末、半年末等），充分利用“丹东协会车险工作群”，“丹东财险公司总经理群”第一时间</w:t>
      </w:r>
      <w:proofErr w:type="gramStart"/>
      <w:r w:rsidR="00890947" w:rsidRPr="001B5487">
        <w:rPr>
          <w:rFonts w:ascii="仿宋" w:eastAsia="仿宋" w:hAnsi="仿宋" w:hint="eastAsia"/>
          <w:sz w:val="32"/>
          <w:szCs w:val="32"/>
        </w:rPr>
        <w:t>发布省协会</w:t>
      </w:r>
      <w:proofErr w:type="gramEnd"/>
      <w:r w:rsidR="00890947" w:rsidRPr="001B5487">
        <w:rPr>
          <w:rFonts w:ascii="仿宋" w:eastAsia="仿宋" w:hAnsi="仿宋" w:hint="eastAsia"/>
          <w:sz w:val="32"/>
          <w:szCs w:val="32"/>
        </w:rPr>
        <w:t>最新自律通知和自律督导提示。</w:t>
      </w:r>
    </w:p>
    <w:p w:rsidR="00B52ADD" w:rsidRPr="001B5487" w:rsidRDefault="007E024A" w:rsidP="001B548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890947" w:rsidRPr="001B5487">
        <w:rPr>
          <w:rFonts w:ascii="仿宋" w:eastAsia="仿宋" w:hAnsi="仿宋" w:hint="eastAsia"/>
          <w:b/>
          <w:bCs/>
          <w:sz w:val="32"/>
          <w:szCs w:val="32"/>
        </w:rPr>
        <w:t>建立常态化沟通协调机制。</w:t>
      </w:r>
      <w:r w:rsidR="00890947" w:rsidRPr="001B5487">
        <w:rPr>
          <w:rFonts w:ascii="仿宋" w:eastAsia="仿宋" w:hAnsi="仿宋" w:hint="eastAsia"/>
          <w:sz w:val="32"/>
          <w:szCs w:val="32"/>
        </w:rPr>
        <w:t>不定期召开车险自律委员会和财险公司总经理工作会议，通报前期自律工作情况及目前市场运行现状，共同研究丹东车险市场存在的问题和解决方案，探索异地返税政策应对措施全力控制业务外流，研究各种使用性质车辆承保管控措施等。建立有效沟通机制，共同维护丹东车险市场稳定。</w:t>
      </w:r>
    </w:p>
    <w:p w:rsidR="00B52ADD" w:rsidRPr="001B5487" w:rsidRDefault="00BF63F8" w:rsidP="001B548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b/>
          <w:bCs/>
          <w:sz w:val="32"/>
          <w:szCs w:val="32"/>
        </w:rPr>
        <w:t>3、</w:t>
      </w:r>
      <w:r w:rsidR="00890947" w:rsidRPr="001B5487">
        <w:rPr>
          <w:rFonts w:ascii="仿宋" w:eastAsia="仿宋" w:hAnsi="仿宋" w:hint="eastAsia"/>
          <w:b/>
          <w:bCs/>
          <w:sz w:val="32"/>
          <w:szCs w:val="32"/>
        </w:rPr>
        <w:t>发挥市场监督员作用。</w:t>
      </w:r>
      <w:r w:rsidR="00890947" w:rsidRPr="001B5487">
        <w:rPr>
          <w:rFonts w:ascii="仿宋" w:eastAsia="仿宋" w:hAnsi="仿宋" w:hint="eastAsia"/>
          <w:sz w:val="32"/>
          <w:szCs w:val="32"/>
        </w:rPr>
        <w:t>采取多种形式收集掌握行业反映的涉嫌违规问题，不留死角，形成全方位的监督网络，及时掌握丹东地区各主体车险市场运行动态，发现问题，及时督导，做到警钟长鸣。</w:t>
      </w:r>
    </w:p>
    <w:p w:rsidR="00B52ADD" w:rsidRPr="001B5487" w:rsidRDefault="00BF63F8" w:rsidP="001B548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b/>
          <w:bCs/>
          <w:sz w:val="32"/>
          <w:szCs w:val="32"/>
        </w:rPr>
        <w:t>4、</w:t>
      </w:r>
      <w:r w:rsidR="00890947" w:rsidRPr="001B5487">
        <w:rPr>
          <w:rFonts w:ascii="仿宋" w:eastAsia="仿宋" w:hAnsi="仿宋" w:hint="eastAsia"/>
          <w:b/>
          <w:bCs/>
          <w:sz w:val="32"/>
          <w:szCs w:val="32"/>
        </w:rPr>
        <w:t>做好日常数据监控。</w:t>
      </w:r>
      <w:r w:rsidR="00890947" w:rsidRPr="001B5487">
        <w:rPr>
          <w:rFonts w:ascii="仿宋" w:eastAsia="仿宋" w:hAnsi="仿宋" w:hint="eastAsia"/>
          <w:sz w:val="32"/>
          <w:szCs w:val="32"/>
        </w:rPr>
        <w:t>通过报送自制行业数据监测报</w:t>
      </w:r>
      <w:r w:rsidR="00890947" w:rsidRPr="001B5487">
        <w:rPr>
          <w:rFonts w:ascii="仿宋" w:eastAsia="仿宋" w:hAnsi="仿宋" w:hint="eastAsia"/>
          <w:sz w:val="32"/>
          <w:szCs w:val="32"/>
        </w:rPr>
        <w:lastRenderedPageBreak/>
        <w:t>表，随时监测丹东地区各主体车险业务情况。监测全省各主体及丹东地区各主体车险业务增速、转保、新车业务发展及省排名情况，及时进行自律督导提示。</w:t>
      </w:r>
    </w:p>
    <w:p w:rsidR="00BF63F8" w:rsidRPr="001B5487" w:rsidRDefault="00BF63F8" w:rsidP="00BF63F8">
      <w:pPr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 xml:space="preserve">    按月监测各主体 “活跃费用”及“三率（赔付率、费用率、综合成本率）”情况，并及时预警提示。</w:t>
      </w:r>
    </w:p>
    <w:p w:rsidR="00BF63F8" w:rsidRPr="001B5487" w:rsidRDefault="001B5487" w:rsidP="001B548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="00BF63F8" w:rsidRPr="001B5487">
        <w:rPr>
          <w:rFonts w:ascii="仿宋" w:eastAsia="仿宋" w:hAnsi="仿宋" w:hint="eastAsia"/>
          <w:b/>
          <w:bCs/>
          <w:sz w:val="32"/>
          <w:szCs w:val="32"/>
        </w:rPr>
        <w:t>自律检查</w:t>
      </w:r>
    </w:p>
    <w:p w:rsidR="00B52ADD" w:rsidRPr="001B5487" w:rsidRDefault="00BF63F8" w:rsidP="00BF63F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890947" w:rsidRPr="00BF63F8">
        <w:rPr>
          <w:rFonts w:ascii="仿宋" w:eastAsia="仿宋" w:hAnsi="仿宋" w:hint="eastAsia"/>
          <w:b/>
          <w:bCs/>
          <w:sz w:val="32"/>
          <w:szCs w:val="32"/>
        </w:rPr>
        <w:t>加强现场、非现场方式监测。</w:t>
      </w:r>
      <w:r w:rsidR="00890947" w:rsidRPr="001B5487">
        <w:rPr>
          <w:rFonts w:ascii="仿宋" w:eastAsia="仿宋" w:hAnsi="仿宋" w:hint="eastAsia"/>
          <w:sz w:val="32"/>
          <w:szCs w:val="32"/>
        </w:rPr>
        <w:t>根据市场数据监测情况，对相关公司约谈进行风险提示，同时通过现场调研巡查等方式进行日常自律检查督导，了解目前市场运行状况和存在问题，进行风险提示，维护丹东车险市场秩序。</w:t>
      </w:r>
    </w:p>
    <w:p w:rsidR="00B52ADD" w:rsidRPr="001B5487" w:rsidRDefault="00BF63F8" w:rsidP="00BF63F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890947" w:rsidRPr="00BF63F8">
        <w:rPr>
          <w:rFonts w:ascii="仿宋" w:eastAsia="仿宋" w:hAnsi="仿宋" w:hint="eastAsia"/>
          <w:b/>
          <w:bCs/>
          <w:sz w:val="32"/>
          <w:szCs w:val="32"/>
        </w:rPr>
        <w:t>认真组织现场检查。</w:t>
      </w:r>
      <w:r w:rsidR="00890947" w:rsidRPr="001B5487">
        <w:rPr>
          <w:rFonts w:ascii="仿宋" w:eastAsia="仿宋" w:hAnsi="仿宋" w:hint="eastAsia"/>
          <w:sz w:val="32"/>
          <w:szCs w:val="32"/>
        </w:rPr>
        <w:t>为充分发挥省市联动工作机制，进一步规范丹东车险市场秩序，市协会成立由秘书长任组长的车险自律检查领导小组，从各会员公司抽调20名业务骨干组成现场检查小组，通过明察暗访的方式在全市开展车险自律检查。</w:t>
      </w:r>
    </w:p>
    <w:p w:rsidR="00BF63F8" w:rsidRPr="00BF63F8" w:rsidRDefault="00BF63F8" w:rsidP="00BF63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F63F8">
        <w:rPr>
          <w:rFonts w:ascii="仿宋" w:eastAsia="仿宋" w:hAnsi="仿宋" w:hint="eastAsia"/>
          <w:b/>
          <w:bCs/>
          <w:sz w:val="32"/>
          <w:szCs w:val="32"/>
        </w:rPr>
        <w:t>（四）存在问题</w:t>
      </w:r>
    </w:p>
    <w:p w:rsidR="00BF63F8" w:rsidRPr="001B5487" w:rsidRDefault="00BF63F8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省内异地车船税返税现象仍然存在，致使丹东地区</w:t>
      </w:r>
      <w:proofErr w:type="gramStart"/>
      <w:r w:rsidRPr="001B5487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1B5487">
        <w:rPr>
          <w:rFonts w:ascii="仿宋" w:eastAsia="仿宋" w:hAnsi="仿宋" w:hint="eastAsia"/>
          <w:sz w:val="32"/>
          <w:szCs w:val="32"/>
        </w:rPr>
        <w:t>保费流失、税源流失。</w:t>
      </w:r>
    </w:p>
    <w:p w:rsidR="00BF63F8" w:rsidRPr="00BF63F8" w:rsidRDefault="00BF63F8" w:rsidP="00BF63F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F63F8">
        <w:rPr>
          <w:rFonts w:ascii="仿宋" w:eastAsia="仿宋" w:hAnsi="仿宋" w:hint="eastAsia"/>
          <w:b/>
          <w:bCs/>
          <w:sz w:val="32"/>
          <w:szCs w:val="32"/>
        </w:rPr>
        <w:t>（五）下步工作</w:t>
      </w:r>
    </w:p>
    <w:p w:rsidR="00B52ADD" w:rsidRPr="001B5487" w:rsidRDefault="00BF63F8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1、</w:t>
      </w:r>
      <w:r w:rsidR="00890947" w:rsidRPr="001B5487">
        <w:rPr>
          <w:rFonts w:ascii="仿宋" w:eastAsia="仿宋" w:hAnsi="仿宋" w:hint="eastAsia"/>
          <w:sz w:val="32"/>
          <w:szCs w:val="32"/>
        </w:rPr>
        <w:t>继续做好数据监测，发现问题及时进行自律督导提示。</w:t>
      </w:r>
    </w:p>
    <w:p w:rsidR="00B52ADD" w:rsidRPr="001B5487" w:rsidRDefault="00BF63F8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 xml:space="preserve"> 2、</w:t>
      </w:r>
      <w:r w:rsidR="00890947" w:rsidRPr="001B5487">
        <w:rPr>
          <w:rFonts w:ascii="仿宋" w:eastAsia="仿宋" w:hAnsi="仿宋" w:hint="eastAsia"/>
          <w:sz w:val="32"/>
          <w:szCs w:val="32"/>
        </w:rPr>
        <w:t>充分发挥市场监督员作用，及时掌握丹东地区各主</w:t>
      </w:r>
      <w:r w:rsidR="00890947" w:rsidRPr="001B5487">
        <w:rPr>
          <w:rFonts w:ascii="仿宋" w:eastAsia="仿宋" w:hAnsi="仿宋" w:hint="eastAsia"/>
          <w:sz w:val="32"/>
          <w:szCs w:val="32"/>
        </w:rPr>
        <w:lastRenderedPageBreak/>
        <w:t>体车险市场运行动态。</w:t>
      </w:r>
    </w:p>
    <w:p w:rsidR="00B52ADD" w:rsidRPr="001B5487" w:rsidRDefault="00BF63F8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3、</w:t>
      </w:r>
      <w:r w:rsidR="00890947" w:rsidRPr="001B5487">
        <w:rPr>
          <w:rFonts w:ascii="仿宋" w:eastAsia="仿宋" w:hAnsi="仿宋" w:hint="eastAsia"/>
          <w:sz w:val="32"/>
          <w:szCs w:val="32"/>
        </w:rPr>
        <w:t>继续做好现场、非现场监测，</w:t>
      </w:r>
      <w:proofErr w:type="gramStart"/>
      <w:r w:rsidR="00890947" w:rsidRPr="001B5487">
        <w:rPr>
          <w:rFonts w:ascii="仿宋" w:eastAsia="仿宋" w:hAnsi="仿宋" w:hint="eastAsia"/>
          <w:sz w:val="32"/>
          <w:szCs w:val="32"/>
        </w:rPr>
        <w:t>利用微信工作</w:t>
      </w:r>
      <w:proofErr w:type="gramEnd"/>
      <w:r w:rsidR="00890947" w:rsidRPr="001B5487">
        <w:rPr>
          <w:rFonts w:ascii="仿宋" w:eastAsia="仿宋" w:hAnsi="仿宋" w:hint="eastAsia"/>
          <w:sz w:val="32"/>
          <w:szCs w:val="32"/>
        </w:rPr>
        <w:t>群和现场检查、约谈、电话督导方式进行自律督导。</w:t>
      </w:r>
    </w:p>
    <w:p w:rsidR="00B52ADD" w:rsidRPr="001B5487" w:rsidRDefault="00BF63F8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sz w:val="32"/>
          <w:szCs w:val="32"/>
        </w:rPr>
        <w:t>4、</w:t>
      </w:r>
      <w:r w:rsidR="00890947" w:rsidRPr="001B5487">
        <w:rPr>
          <w:rFonts w:ascii="仿宋" w:eastAsia="仿宋" w:hAnsi="仿宋" w:hint="eastAsia"/>
          <w:sz w:val="32"/>
          <w:szCs w:val="32"/>
        </w:rPr>
        <w:t>市协会随时密切关注，发现问题及时约谈督导，确保丹东市场秩序稳定。</w:t>
      </w:r>
    </w:p>
    <w:p w:rsidR="00B52ADD" w:rsidRPr="001B5487" w:rsidRDefault="00890947" w:rsidP="001B548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5487">
        <w:rPr>
          <w:rFonts w:ascii="仿宋" w:eastAsia="仿宋" w:hAnsi="仿宋" w:hint="eastAsia"/>
          <w:bCs/>
          <w:sz w:val="32"/>
          <w:szCs w:val="32"/>
        </w:rPr>
        <w:t>目前，丹东地区车险市场运行平稳，各项监测指标均居全省中游水平，呈现良好态势。</w:t>
      </w:r>
    </w:p>
    <w:p w:rsidR="001B5487" w:rsidRPr="001B5487" w:rsidRDefault="001B5487" w:rsidP="001B548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八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1B5487">
        <w:rPr>
          <w:rFonts w:ascii="仿宋" w:eastAsia="仿宋" w:hAnsi="仿宋" w:hint="eastAsia"/>
          <w:b/>
          <w:bCs/>
          <w:sz w:val="32"/>
          <w:szCs w:val="32"/>
        </w:rPr>
        <w:t>车险综合改革指导意见宣导</w:t>
      </w:r>
    </w:p>
    <w:p w:rsidR="001B5487" w:rsidRPr="001B5487" w:rsidRDefault="001B5487" w:rsidP="001B5487">
      <w:pPr>
        <w:pStyle w:val="a3"/>
        <w:numPr>
          <w:ilvl w:val="0"/>
          <w:numId w:val="9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1B5487">
        <w:rPr>
          <w:rFonts w:ascii="仿宋" w:eastAsia="仿宋" w:hAnsi="仿宋" w:hint="eastAsia"/>
          <w:b/>
          <w:bCs/>
          <w:sz w:val="32"/>
          <w:szCs w:val="32"/>
        </w:rPr>
        <w:t>目标</w:t>
      </w:r>
    </w:p>
    <w:p w:rsidR="00F65242" w:rsidRPr="001B5487" w:rsidRDefault="001B5487" w:rsidP="001B5487">
      <w:pPr>
        <w:pStyle w:val="a3"/>
        <w:ind w:leftChars="153" w:left="321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905CAC" w:rsidRPr="001B5487">
        <w:rPr>
          <w:rFonts w:ascii="仿宋" w:eastAsia="仿宋" w:hAnsi="仿宋" w:hint="eastAsia"/>
          <w:b/>
          <w:bCs/>
          <w:sz w:val="32"/>
          <w:szCs w:val="32"/>
        </w:rPr>
        <w:t>将“保护消费者权益”作为主要目标。</w:t>
      </w:r>
      <w:r w:rsidR="00905CAC" w:rsidRPr="00AE0218">
        <w:rPr>
          <w:rFonts w:ascii="仿宋" w:eastAsia="仿宋" w:hAnsi="仿宋" w:hint="eastAsia"/>
          <w:sz w:val="32"/>
          <w:szCs w:val="32"/>
        </w:rPr>
        <w:t>市场化条款费率形成机制建立、保障责任优化、产品服务丰富、附加费用合理、市场体系健全、市场竞争有序、经营效益提</w:t>
      </w:r>
      <w:r w:rsidR="00905CAC" w:rsidRPr="001B5487">
        <w:rPr>
          <w:rFonts w:ascii="仿宋" w:eastAsia="仿宋" w:hAnsi="仿宋" w:hint="eastAsia"/>
          <w:b/>
          <w:sz w:val="32"/>
          <w:szCs w:val="32"/>
        </w:rPr>
        <w:t>升、车险高质量发展等。</w:t>
      </w:r>
    </w:p>
    <w:p w:rsidR="00F65242" w:rsidRPr="00AE0218" w:rsidRDefault="001B5487" w:rsidP="001B5487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905CAC" w:rsidRPr="001B5487">
        <w:rPr>
          <w:rFonts w:ascii="仿宋" w:eastAsia="仿宋" w:hAnsi="仿宋" w:hint="eastAsia"/>
          <w:b/>
          <w:bCs/>
          <w:sz w:val="32"/>
          <w:szCs w:val="32"/>
        </w:rPr>
        <w:t>短期内将“降价、增保、提质”作为阶段性目标。</w:t>
      </w:r>
      <w:r w:rsidR="00905CAC" w:rsidRPr="00AE0218">
        <w:rPr>
          <w:rFonts w:ascii="仿宋" w:eastAsia="仿宋" w:hAnsi="仿宋" w:hint="eastAsia"/>
          <w:sz w:val="32"/>
          <w:szCs w:val="32"/>
        </w:rPr>
        <w:t>短期内对于所有消费者可以做到“三个基本”，即“价格基本上只降不升，保障基本上只增不减，服务基本上只优不差”</w:t>
      </w:r>
    </w:p>
    <w:p w:rsidR="001B5487" w:rsidRPr="001B5487" w:rsidRDefault="001B5487" w:rsidP="001B548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5487">
        <w:rPr>
          <w:rFonts w:ascii="仿宋" w:eastAsia="仿宋" w:hAnsi="仿宋" w:hint="eastAsia"/>
          <w:b/>
          <w:bCs/>
          <w:sz w:val="32"/>
          <w:szCs w:val="32"/>
        </w:rPr>
        <w:t>（二）对市场影响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E0218"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对于消费者来说</w:t>
      </w:r>
      <w:r w:rsidR="00905CAC" w:rsidRPr="00AE0218">
        <w:rPr>
          <w:rFonts w:ascii="仿宋" w:eastAsia="仿宋" w:hAnsi="仿宋" w:hint="eastAsia"/>
          <w:b/>
          <w:sz w:val="32"/>
          <w:szCs w:val="32"/>
        </w:rPr>
        <w:t>，</w:t>
      </w:r>
      <w:r w:rsidR="00905CAC" w:rsidRPr="00AE0218">
        <w:rPr>
          <w:rFonts w:ascii="仿宋" w:eastAsia="仿宋" w:hAnsi="仿宋" w:hint="eastAsia"/>
          <w:sz w:val="32"/>
          <w:szCs w:val="32"/>
        </w:rPr>
        <w:t>在保险责任扩大保障金额提升的情况下，保费支出还将明显减少，在改革中将无疑受益。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E0218"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对于财险公司来说</w:t>
      </w:r>
      <w:r w:rsidR="00905CAC" w:rsidRPr="00AE0218">
        <w:rPr>
          <w:rFonts w:ascii="仿宋" w:eastAsia="仿宋" w:hAnsi="仿宋" w:hint="eastAsia"/>
          <w:b/>
          <w:sz w:val="32"/>
          <w:szCs w:val="32"/>
        </w:rPr>
        <w:t>，</w:t>
      </w:r>
      <w:r w:rsidR="00905CAC" w:rsidRPr="00AE0218">
        <w:rPr>
          <w:rFonts w:ascii="仿宋" w:eastAsia="仿宋" w:hAnsi="仿宋" w:hint="eastAsia"/>
          <w:sz w:val="32"/>
          <w:szCs w:val="32"/>
        </w:rPr>
        <w:t>尽管保费规模有所下降，但投保率上升、保额提升、新车增长和档次提高也会有所对冲；由于车险价格回归合理水平，以各种违法违规手段套取费用</w:t>
      </w:r>
      <w:r w:rsidR="00905CAC" w:rsidRPr="00AE0218">
        <w:rPr>
          <w:rFonts w:ascii="仿宋" w:eastAsia="仿宋" w:hAnsi="仿宋" w:hint="eastAsia"/>
          <w:sz w:val="32"/>
          <w:szCs w:val="32"/>
        </w:rPr>
        <w:lastRenderedPageBreak/>
        <w:t>的现象将明显减少，可以减少跑冒滴漏和税务支出，降低合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风险，改善行业形象。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E0218">
        <w:rPr>
          <w:rFonts w:ascii="仿宋" w:eastAsia="仿宋" w:hAnsi="仿宋" w:hint="eastAsia"/>
          <w:b/>
          <w:bCs/>
          <w:sz w:val="32"/>
          <w:szCs w:val="32"/>
        </w:rPr>
        <w:t>3、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对于中介渠道来说</w:t>
      </w:r>
      <w:r w:rsidR="00905CAC" w:rsidRPr="00AE0218">
        <w:rPr>
          <w:rFonts w:ascii="仿宋" w:eastAsia="仿宋" w:hAnsi="仿宋" w:hint="eastAsia"/>
          <w:b/>
          <w:sz w:val="32"/>
          <w:szCs w:val="32"/>
        </w:rPr>
        <w:t>，</w:t>
      </w:r>
      <w:r w:rsidR="00905CAC" w:rsidRPr="00AE0218">
        <w:rPr>
          <w:rFonts w:ascii="仿宋" w:eastAsia="仿宋" w:hAnsi="仿宋" w:hint="eastAsia"/>
          <w:sz w:val="32"/>
          <w:szCs w:val="32"/>
        </w:rPr>
        <w:t>改革有利于获得合法合理的中介收入，规范财务业务管理，减少违法违规风险。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E0218">
        <w:rPr>
          <w:rFonts w:ascii="仿宋" w:eastAsia="仿宋" w:hAnsi="仿宋" w:hint="eastAsia"/>
          <w:b/>
          <w:bCs/>
          <w:sz w:val="32"/>
          <w:szCs w:val="32"/>
        </w:rPr>
        <w:t>4、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对于监管来说</w:t>
      </w:r>
      <w:r w:rsidR="00905CAC" w:rsidRPr="00AE0218">
        <w:rPr>
          <w:rFonts w:ascii="仿宋" w:eastAsia="仿宋" w:hAnsi="仿宋" w:hint="eastAsia"/>
          <w:b/>
          <w:sz w:val="32"/>
          <w:szCs w:val="32"/>
        </w:rPr>
        <w:t>，</w:t>
      </w:r>
      <w:r w:rsidR="00905CAC" w:rsidRPr="00AE0218">
        <w:rPr>
          <w:rFonts w:ascii="仿宋" w:eastAsia="仿宋" w:hAnsi="仿宋" w:hint="eastAsia"/>
          <w:sz w:val="32"/>
          <w:szCs w:val="32"/>
        </w:rPr>
        <w:t>改革的全面顺利实施，将有利于解决车险市场长期存在的违法违规问题，促进监管资源配置优化。</w:t>
      </w:r>
    </w:p>
    <w:p w:rsidR="00AE0218" w:rsidRPr="00AE0218" w:rsidRDefault="00AE0218" w:rsidP="00AE021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0218">
        <w:rPr>
          <w:rFonts w:ascii="仿宋" w:eastAsia="仿宋" w:hAnsi="仿宋" w:hint="eastAsia"/>
          <w:b/>
          <w:bCs/>
          <w:sz w:val="32"/>
          <w:szCs w:val="32"/>
        </w:rPr>
        <w:t>（三）内容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提高</w:t>
      </w:r>
      <w:proofErr w:type="gramStart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交强险</w:t>
      </w:r>
      <w:proofErr w:type="gramEnd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责任限额。</w:t>
      </w:r>
      <w:r w:rsidR="00905CAC" w:rsidRPr="00AE0218">
        <w:rPr>
          <w:rFonts w:ascii="仿宋" w:eastAsia="仿宋" w:hAnsi="仿宋" w:hint="eastAsia"/>
          <w:sz w:val="32"/>
          <w:szCs w:val="32"/>
        </w:rPr>
        <w:t>将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总责任限额从12.2万元提高到20万元，其中死亡伤残赔偿限额从11万元提高到18万元，医疗费用赔偿限额从1万元提高到1.8万元，财产损失赔偿限额维持0.2万元不变。无责任赔偿限额按照相同比例进行调整，其中死亡伤残赔偿限额从1.1万元提高到1.8万元，医疗费用赔偿限额从1000元提高到1800元，财产损失赔偿限额维持100元不变。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优化</w:t>
      </w:r>
      <w:proofErr w:type="gramStart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交强险</w:t>
      </w:r>
      <w:proofErr w:type="gramEnd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道路交通事故费率浮动系数。</w:t>
      </w:r>
      <w:r w:rsidR="00905CAC" w:rsidRPr="00AE0218">
        <w:rPr>
          <w:rFonts w:ascii="仿宋" w:eastAsia="仿宋" w:hAnsi="仿宋" w:hint="eastAsia"/>
          <w:sz w:val="32"/>
          <w:szCs w:val="32"/>
        </w:rPr>
        <w:t>在提高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责任限额的基础上，结合各地区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交强险综合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赔付率水平，在道路交通事故费率调整系数中引入区域浮动因子，浮动比率中的上限保持30%不变，下浮由原来最低的－30%扩大到－50%，提高对未发生赔付消费者的费率优惠幅度。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拓展和</w:t>
      </w:r>
      <w:proofErr w:type="gramStart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优化商车险保障</w:t>
      </w:r>
      <w:proofErr w:type="gramEnd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服务。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理顺商车险主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险和附加险责任引导行业将示范产品的车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损险主险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条款在现有保</w:t>
      </w:r>
      <w:r w:rsidR="00905CAC" w:rsidRPr="00AE0218">
        <w:rPr>
          <w:rFonts w:ascii="仿宋" w:eastAsia="仿宋" w:hAnsi="仿宋" w:hint="eastAsia"/>
          <w:sz w:val="32"/>
          <w:szCs w:val="32"/>
        </w:rPr>
        <w:lastRenderedPageBreak/>
        <w:t>险责任基础上，增加机动车全车盗抢、玻璃单独破碎、自燃、发动机涉水、不计免赔率、指定修理厂、无法找到第三方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特约等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7个方面的保险责任，为消费者提供更加全面完善的车险保障服务。支持行业开发车轮单独损失险、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保外用药责任险等附加险产品。</w:t>
      </w:r>
    </w:p>
    <w:p w:rsidR="00F65242" w:rsidRPr="00AE0218" w:rsidRDefault="00100524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（1）</w:t>
      </w:r>
      <w:proofErr w:type="gramStart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优化商</w:t>
      </w:r>
      <w:proofErr w:type="gramEnd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车险保障服务。</w:t>
      </w:r>
      <w:r w:rsidR="00905CAC" w:rsidRPr="00AE0218">
        <w:rPr>
          <w:rFonts w:ascii="仿宋" w:eastAsia="仿宋" w:hAnsi="仿宋" w:hint="eastAsia"/>
          <w:sz w:val="32"/>
          <w:szCs w:val="32"/>
        </w:rPr>
        <w:t>在基本不增加消费者保费支出的原则下，支持行业拓展商车险保障责任范围。引导行业合理删除实践中容易引发理赔争议的免责条款，合理删除事故责任免赔率、无法找到第三方免赔率等免赔约定。</w:t>
      </w:r>
    </w:p>
    <w:p w:rsidR="00F65242" w:rsidRPr="00AE0218" w:rsidRDefault="00100524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（2）</w:t>
      </w:r>
      <w:proofErr w:type="gramStart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提升商</w:t>
      </w:r>
      <w:proofErr w:type="gramEnd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车险责任限额。</w:t>
      </w:r>
      <w:r w:rsidR="00905CAC" w:rsidRPr="00AE0218">
        <w:rPr>
          <w:rFonts w:ascii="仿宋" w:eastAsia="仿宋" w:hAnsi="仿宋" w:hint="eastAsia"/>
          <w:sz w:val="32"/>
          <w:szCs w:val="32"/>
        </w:rPr>
        <w:t>结合经济社会发展水平，支持行业将示范产品商业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三责险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责任限额从5万－500万元档次提升到10万－1000万元档次，更加有利于满足消费者风险保障需求，更好发挥经济补偿和化解矛盾纠纷的功能作用。</w:t>
      </w:r>
    </w:p>
    <w:p w:rsidR="00F65242" w:rsidRPr="00AE0218" w:rsidRDefault="00100524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（3）</w:t>
      </w:r>
      <w:proofErr w:type="gramStart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丰富商</w:t>
      </w:r>
      <w:proofErr w:type="gramEnd"/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车险产品。</w:t>
      </w:r>
      <w:r w:rsidR="00905CAC" w:rsidRPr="00AE0218">
        <w:rPr>
          <w:rFonts w:ascii="仿宋" w:eastAsia="仿宋" w:hAnsi="仿宋" w:hint="eastAsia"/>
          <w:sz w:val="32"/>
          <w:szCs w:val="32"/>
        </w:rPr>
        <w:t>支持行业制定新能源车险、驾乘人员意外险、机动车延长保修险示范条款，探索在新能源汽车和具备条件的传统汽车中开发机动车里程保险（UBI）等创新产品，制定包括代送检、道路救援、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代驾服务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、安全检测等车险增值服务险的示范条款，为消费者提供更加规范和丰富的车险保障服务。</w:t>
      </w:r>
    </w:p>
    <w:p w:rsidR="00F65242" w:rsidRPr="00AE0218" w:rsidRDefault="00905CAC" w:rsidP="00AE0218">
      <w:pPr>
        <w:pStyle w:val="a3"/>
        <w:numPr>
          <w:ilvl w:val="0"/>
          <w:numId w:val="18"/>
        </w:numPr>
        <w:ind w:firstLineChars="0"/>
        <w:rPr>
          <w:rFonts w:ascii="仿宋" w:eastAsia="仿宋" w:hAnsi="仿宋"/>
          <w:b/>
          <w:sz w:val="32"/>
          <w:szCs w:val="32"/>
        </w:rPr>
      </w:pPr>
      <w:proofErr w:type="gramStart"/>
      <w:r w:rsidRPr="00AE0218">
        <w:rPr>
          <w:rFonts w:ascii="仿宋" w:eastAsia="仿宋" w:hAnsi="仿宋" w:hint="eastAsia"/>
          <w:b/>
          <w:bCs/>
          <w:sz w:val="32"/>
          <w:szCs w:val="32"/>
        </w:rPr>
        <w:t>健全商</w:t>
      </w:r>
      <w:proofErr w:type="gramEnd"/>
      <w:r w:rsidRPr="00AE0218">
        <w:rPr>
          <w:rFonts w:ascii="仿宋" w:eastAsia="仿宋" w:hAnsi="仿宋" w:hint="eastAsia"/>
          <w:b/>
          <w:bCs/>
          <w:sz w:val="32"/>
          <w:szCs w:val="32"/>
        </w:rPr>
        <w:t>车险条款费率市场化形成机制</w:t>
      </w:r>
    </w:p>
    <w:p w:rsidR="00F65242" w:rsidRPr="00AE0218" w:rsidRDefault="00100524" w:rsidP="00342C4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（1）</w:t>
      </w:r>
      <w:r w:rsidR="00905CAC" w:rsidRPr="00342C4F">
        <w:rPr>
          <w:rFonts w:ascii="仿宋" w:eastAsia="仿宋" w:hAnsi="仿宋" w:hint="eastAsia"/>
          <w:b/>
          <w:bCs/>
          <w:sz w:val="32"/>
          <w:szCs w:val="32"/>
        </w:rPr>
        <w:t>完善行业</w:t>
      </w:r>
      <w:proofErr w:type="gramStart"/>
      <w:r w:rsidR="00905CAC" w:rsidRPr="00342C4F">
        <w:rPr>
          <w:rFonts w:ascii="仿宋" w:eastAsia="仿宋" w:hAnsi="仿宋" w:hint="eastAsia"/>
          <w:b/>
          <w:bCs/>
          <w:sz w:val="32"/>
          <w:szCs w:val="32"/>
        </w:rPr>
        <w:t>纯风险</w:t>
      </w:r>
      <w:proofErr w:type="gramEnd"/>
      <w:r w:rsidR="00905CAC" w:rsidRPr="00342C4F">
        <w:rPr>
          <w:rFonts w:ascii="仿宋" w:eastAsia="仿宋" w:hAnsi="仿宋" w:hint="eastAsia"/>
          <w:b/>
          <w:bCs/>
          <w:sz w:val="32"/>
          <w:szCs w:val="32"/>
        </w:rPr>
        <w:t>保费测算机制</w:t>
      </w:r>
      <w:r w:rsidR="00905CAC" w:rsidRPr="00342C4F">
        <w:rPr>
          <w:rFonts w:ascii="仿宋" w:eastAsia="仿宋" w:hAnsi="仿宋" w:hint="eastAsia"/>
          <w:b/>
          <w:sz w:val="32"/>
          <w:szCs w:val="32"/>
        </w:rPr>
        <w:t>。</w:t>
      </w:r>
      <w:r w:rsidR="00905CAC" w:rsidRPr="00AE0218">
        <w:rPr>
          <w:rFonts w:ascii="仿宋" w:eastAsia="仿宋" w:hAnsi="仿宋" w:hint="eastAsia"/>
          <w:sz w:val="32"/>
          <w:szCs w:val="32"/>
        </w:rPr>
        <w:t>支持行业根据市</w:t>
      </w:r>
      <w:r w:rsidR="00905CAC" w:rsidRPr="00AE0218">
        <w:rPr>
          <w:rFonts w:ascii="仿宋" w:eastAsia="仿宋" w:hAnsi="仿宋" w:hint="eastAsia"/>
          <w:sz w:val="32"/>
          <w:szCs w:val="32"/>
        </w:rPr>
        <w:lastRenderedPageBreak/>
        <w:t>场实际风险情况，重新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测算商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车险行业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纯风险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保费，建立每2－3年调整一次的商车险行业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纯风险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保费测算的常态化机制。</w:t>
      </w:r>
    </w:p>
    <w:p w:rsidR="00F65242" w:rsidRPr="00AE0218" w:rsidRDefault="00100524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（2）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合理下调附加费用率。</w:t>
      </w:r>
      <w:r w:rsidR="00905CAC" w:rsidRPr="00AE0218">
        <w:rPr>
          <w:rFonts w:ascii="仿宋" w:eastAsia="仿宋" w:hAnsi="仿宋" w:hint="eastAsia"/>
          <w:sz w:val="32"/>
          <w:szCs w:val="32"/>
        </w:rPr>
        <w:t>引导行业将商车险产品设定附加费用率的上限由35％下调为25%，预期赔付率由65％提高到75%。适时支持财险公司报批报备附加费用率上限低于25%的网销、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电销等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渠道的商车险产品。</w:t>
      </w:r>
    </w:p>
    <w:p w:rsidR="00F65242" w:rsidRPr="00AE0218" w:rsidRDefault="00100524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（3）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逐步放开自主定价系数浮动范围。</w:t>
      </w:r>
      <w:r w:rsidR="00905CAC" w:rsidRPr="00AE0218">
        <w:rPr>
          <w:rFonts w:ascii="仿宋" w:eastAsia="仿宋" w:hAnsi="仿宋" w:hint="eastAsia"/>
          <w:sz w:val="32"/>
          <w:szCs w:val="32"/>
        </w:rPr>
        <w:t>引导行业将“自主渠道系数”和“自主核保系数”合二为一，整合为“自主定价系数”。第一步将自主定价系数范围确定为[0.65－1.35]，第二步适时完全放开自主定价系数的范围。</w:t>
      </w:r>
    </w:p>
    <w:p w:rsidR="00F65242" w:rsidRPr="00AE0218" w:rsidRDefault="00100524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（4）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优化无赔款优待系数。</w:t>
      </w:r>
      <w:r w:rsidR="00905CAC" w:rsidRPr="00AE0218">
        <w:rPr>
          <w:rFonts w:ascii="仿宋" w:eastAsia="仿宋" w:hAnsi="仿宋" w:hint="eastAsia"/>
          <w:sz w:val="32"/>
          <w:szCs w:val="32"/>
        </w:rPr>
        <w:t xml:space="preserve">将考虑赔付记录的范围由前1年扩大到前3年，并降低对偶然赔付消费者的费率上调幅度。 </w:t>
      </w:r>
    </w:p>
    <w:p w:rsidR="00BF63F8" w:rsidRPr="00AE0218" w:rsidRDefault="00100524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（5</w:t>
      </w:r>
      <w:bookmarkStart w:id="0" w:name="_GoBack"/>
      <w:bookmarkEnd w:id="0"/>
      <w:r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AE0218" w:rsidRPr="00AE0218">
        <w:rPr>
          <w:rFonts w:ascii="仿宋" w:eastAsia="仿宋" w:hAnsi="仿宋" w:hint="eastAsia"/>
          <w:b/>
          <w:bCs/>
          <w:sz w:val="32"/>
          <w:szCs w:val="32"/>
        </w:rPr>
        <w:t>科学设定手续费比例上限。</w:t>
      </w:r>
      <w:r w:rsidR="00AE0218" w:rsidRPr="00AE0218">
        <w:rPr>
          <w:rFonts w:ascii="仿宋" w:eastAsia="仿宋" w:hAnsi="仿宋" w:hint="eastAsia"/>
          <w:sz w:val="32"/>
          <w:szCs w:val="32"/>
        </w:rPr>
        <w:t>引导行业根据商车险产品附加费用率上限、市场经营实际和市场主体差异，合理设定手续费比例上限，降低一些领域过高的手续费水平。</w:t>
      </w:r>
    </w:p>
    <w:p w:rsidR="00AE0218" w:rsidRPr="00AE0218" w:rsidRDefault="00AE0218" w:rsidP="00AE0218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AE0218">
        <w:rPr>
          <w:rFonts w:ascii="仿宋" w:eastAsia="仿宋" w:hAnsi="仿宋" w:hint="eastAsia"/>
          <w:b/>
          <w:bCs/>
          <w:sz w:val="32"/>
          <w:szCs w:val="32"/>
        </w:rPr>
        <w:t>变化和挑战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保费规模可能下降的情况。</w:t>
      </w:r>
      <w:r w:rsidR="00905CAC" w:rsidRPr="00AE0218">
        <w:rPr>
          <w:rFonts w:ascii="仿宋" w:eastAsia="仿宋" w:hAnsi="仿宋" w:hint="eastAsia"/>
          <w:sz w:val="32"/>
          <w:szCs w:val="32"/>
        </w:rPr>
        <w:t>这次改革既根据实际风险重新测算了基准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纯风险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保费，同时又将预定附加费用率下调至25%，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改革后商车险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基准保费价格将大幅下降，预计消费者的实际签单保费也将明显下降，行业整体车险保费规模</w:t>
      </w:r>
      <w:r w:rsidR="00905CAC" w:rsidRPr="00AE0218">
        <w:rPr>
          <w:rFonts w:ascii="仿宋" w:eastAsia="仿宋" w:hAnsi="仿宋" w:hint="eastAsia"/>
          <w:sz w:val="32"/>
          <w:szCs w:val="32"/>
        </w:rPr>
        <w:lastRenderedPageBreak/>
        <w:t>可能出现一定幅度的下降。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改革后一定时期内可能出现行业性承保亏损的情况。</w:t>
      </w:r>
      <w:r w:rsidR="00905CAC" w:rsidRPr="00AE0218">
        <w:rPr>
          <w:rFonts w:ascii="仿宋" w:eastAsia="仿宋" w:hAnsi="仿宋" w:hint="eastAsia"/>
          <w:sz w:val="32"/>
          <w:szCs w:val="32"/>
        </w:rPr>
        <w:t>由于这次改革力度比较大，简政放权比较多，如果市场主体不够理性，配套监管措施跟不上，短期内市场有可能出现“一放就乱”的现象，导致行业性承保亏损，甚至影响理赔服务质量。</w:t>
      </w:r>
    </w:p>
    <w:p w:rsidR="00F65242" w:rsidRPr="00AE0218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改革后可能出现中小财险公司经营困难的情况。</w:t>
      </w:r>
      <w:r w:rsidR="00905CAC" w:rsidRPr="00AE0218">
        <w:rPr>
          <w:rFonts w:ascii="仿宋" w:eastAsia="仿宋" w:hAnsi="仿宋" w:hint="eastAsia"/>
          <w:sz w:val="32"/>
          <w:szCs w:val="32"/>
        </w:rPr>
        <w:t>随着市场化竞争的推进，许多行业中“强者恒强”的现象日益明显。财险市场也是如此，中小公司整体处于劣势，经营普遍比较困难。预计改革后，市场主体会加剧分化，有些竞争力不强的中小公司经营会更加困难。</w:t>
      </w:r>
    </w:p>
    <w:p w:rsidR="007E024A" w:rsidRDefault="00AE0218" w:rsidP="00AE021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4、</w:t>
      </w:r>
      <w:r w:rsidR="00905CAC" w:rsidRPr="00AE0218">
        <w:rPr>
          <w:rFonts w:ascii="仿宋" w:eastAsia="仿宋" w:hAnsi="仿宋" w:hint="eastAsia"/>
          <w:b/>
          <w:bCs/>
          <w:sz w:val="32"/>
          <w:szCs w:val="32"/>
        </w:rPr>
        <w:t>改革后可能有少数消费者出现车险价格上涨的情况。</w:t>
      </w:r>
      <w:r w:rsidR="00905CAC" w:rsidRPr="00AE0218">
        <w:rPr>
          <w:rFonts w:ascii="仿宋" w:eastAsia="仿宋" w:hAnsi="仿宋" w:hint="eastAsia"/>
          <w:sz w:val="32"/>
          <w:szCs w:val="32"/>
        </w:rPr>
        <w:t>这次改革根据实际风险状况重新测算了基准</w:t>
      </w:r>
      <w:proofErr w:type="gramStart"/>
      <w:r w:rsidR="00905CAC" w:rsidRPr="00AE0218">
        <w:rPr>
          <w:rFonts w:ascii="仿宋" w:eastAsia="仿宋" w:hAnsi="仿宋" w:hint="eastAsia"/>
          <w:sz w:val="32"/>
          <w:szCs w:val="32"/>
        </w:rPr>
        <w:t>纯风险</w:t>
      </w:r>
      <w:proofErr w:type="gramEnd"/>
      <w:r w:rsidR="00905CAC" w:rsidRPr="00AE0218">
        <w:rPr>
          <w:rFonts w:ascii="仿宋" w:eastAsia="仿宋" w:hAnsi="仿宋" w:hint="eastAsia"/>
          <w:sz w:val="32"/>
          <w:szCs w:val="32"/>
        </w:rPr>
        <w:t>保费，可能有少数消费者会出现签单保费价格上升的情况。</w:t>
      </w:r>
    </w:p>
    <w:p w:rsidR="00905CAC" w:rsidRDefault="00905CAC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05CAC" w:rsidRDefault="00905CAC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05CAC" w:rsidRDefault="00905CAC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05CAC" w:rsidRDefault="00905CAC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05CAC" w:rsidRDefault="00905CAC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05CAC" w:rsidRDefault="00905CAC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05CAC" w:rsidRPr="00AE0218" w:rsidRDefault="00905CAC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2020年7月</w:t>
      </w:r>
    </w:p>
    <w:sectPr w:rsidR="00905CAC" w:rsidRPr="00AE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A0" w:rsidRDefault="008553A0" w:rsidP="00605B0F">
      <w:r>
        <w:separator/>
      </w:r>
    </w:p>
  </w:endnote>
  <w:endnote w:type="continuationSeparator" w:id="0">
    <w:p w:rsidR="008553A0" w:rsidRDefault="008553A0" w:rsidP="006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A0" w:rsidRDefault="008553A0" w:rsidP="00605B0F">
      <w:r>
        <w:separator/>
      </w:r>
    </w:p>
  </w:footnote>
  <w:footnote w:type="continuationSeparator" w:id="0">
    <w:p w:rsidR="008553A0" w:rsidRDefault="008553A0" w:rsidP="0060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7AD"/>
    <w:multiLevelType w:val="hybridMultilevel"/>
    <w:tmpl w:val="0C1C145C"/>
    <w:lvl w:ilvl="0" w:tplc="0B9A673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33C3128"/>
    <w:multiLevelType w:val="hybridMultilevel"/>
    <w:tmpl w:val="0356756E"/>
    <w:lvl w:ilvl="0" w:tplc="8F4E1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283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23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E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C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4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B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4D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C4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35246"/>
    <w:multiLevelType w:val="hybridMultilevel"/>
    <w:tmpl w:val="FB06CEBE"/>
    <w:lvl w:ilvl="0" w:tplc="D3366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AFE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00C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49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BB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86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E4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CE8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42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10307"/>
    <w:multiLevelType w:val="hybridMultilevel"/>
    <w:tmpl w:val="B67C29AE"/>
    <w:lvl w:ilvl="0" w:tplc="51B86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C3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0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E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F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21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6E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27C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C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01CA8"/>
    <w:multiLevelType w:val="hybridMultilevel"/>
    <w:tmpl w:val="C3D8B00C"/>
    <w:lvl w:ilvl="0" w:tplc="B3FC36F6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1C1C23D2"/>
    <w:multiLevelType w:val="hybridMultilevel"/>
    <w:tmpl w:val="F5F2104A"/>
    <w:lvl w:ilvl="0" w:tplc="559CC4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6AA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2C5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02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88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2C0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2C2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24F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C7B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0056"/>
    <w:multiLevelType w:val="hybridMultilevel"/>
    <w:tmpl w:val="4E7C716E"/>
    <w:lvl w:ilvl="0" w:tplc="D6866B00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29013EE0"/>
    <w:multiLevelType w:val="hybridMultilevel"/>
    <w:tmpl w:val="D834F4A0"/>
    <w:lvl w:ilvl="0" w:tplc="90E8B22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>
    <w:nsid w:val="299742E9"/>
    <w:multiLevelType w:val="hybridMultilevel"/>
    <w:tmpl w:val="39746B58"/>
    <w:lvl w:ilvl="0" w:tplc="ABBE4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1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4F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E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2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D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D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A4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D1885"/>
    <w:multiLevelType w:val="hybridMultilevel"/>
    <w:tmpl w:val="A6D268B6"/>
    <w:lvl w:ilvl="0" w:tplc="6EB22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06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2D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6B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AC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08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8F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0D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F0F15"/>
    <w:multiLevelType w:val="hybridMultilevel"/>
    <w:tmpl w:val="31C49276"/>
    <w:lvl w:ilvl="0" w:tplc="2ECA62BC">
      <w:start w:val="6"/>
      <w:numFmt w:val="japaneseCounting"/>
      <w:lvlText w:val="（%1）"/>
      <w:lvlJc w:val="left"/>
      <w:pPr>
        <w:ind w:left="1395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1">
    <w:nsid w:val="31C8111A"/>
    <w:multiLevelType w:val="hybridMultilevel"/>
    <w:tmpl w:val="DDDE3CF6"/>
    <w:lvl w:ilvl="0" w:tplc="6F34C0EE">
      <w:start w:val="4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>
    <w:nsid w:val="3D4C4F6E"/>
    <w:multiLevelType w:val="hybridMultilevel"/>
    <w:tmpl w:val="062E73E2"/>
    <w:lvl w:ilvl="0" w:tplc="46A20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9A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45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8A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A0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2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4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4D2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35BFA"/>
    <w:multiLevelType w:val="hybridMultilevel"/>
    <w:tmpl w:val="52249556"/>
    <w:lvl w:ilvl="0" w:tplc="7EF4FA7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471C44CA"/>
    <w:multiLevelType w:val="hybridMultilevel"/>
    <w:tmpl w:val="96082CD6"/>
    <w:lvl w:ilvl="0" w:tplc="46DAAF74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4B862B9B"/>
    <w:multiLevelType w:val="hybridMultilevel"/>
    <w:tmpl w:val="FE8A7A4E"/>
    <w:lvl w:ilvl="0" w:tplc="CC821D4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85CA07B0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4EEB48A4"/>
    <w:multiLevelType w:val="hybridMultilevel"/>
    <w:tmpl w:val="E0248AB4"/>
    <w:lvl w:ilvl="0" w:tplc="F6EA0D7E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>
    <w:nsid w:val="517B150A"/>
    <w:multiLevelType w:val="hybridMultilevel"/>
    <w:tmpl w:val="F7EEE600"/>
    <w:lvl w:ilvl="0" w:tplc="8846569C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51AF759A"/>
    <w:multiLevelType w:val="hybridMultilevel"/>
    <w:tmpl w:val="986CE1E4"/>
    <w:lvl w:ilvl="0" w:tplc="5CE06F6A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>
    <w:nsid w:val="56B9427A"/>
    <w:multiLevelType w:val="hybridMultilevel"/>
    <w:tmpl w:val="2F0C67BE"/>
    <w:lvl w:ilvl="0" w:tplc="76669BB6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5CC00250"/>
    <w:multiLevelType w:val="hybridMultilevel"/>
    <w:tmpl w:val="8CD40BD8"/>
    <w:lvl w:ilvl="0" w:tplc="7694AB98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1">
    <w:nsid w:val="65D72D34"/>
    <w:multiLevelType w:val="hybridMultilevel"/>
    <w:tmpl w:val="B5701482"/>
    <w:lvl w:ilvl="0" w:tplc="0AC21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49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A1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8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A8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3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7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6D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8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17E2C"/>
    <w:multiLevelType w:val="hybridMultilevel"/>
    <w:tmpl w:val="7EEA47D8"/>
    <w:lvl w:ilvl="0" w:tplc="89A272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CC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403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CE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2D6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8A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78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492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F7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D6AE8"/>
    <w:multiLevelType w:val="hybridMultilevel"/>
    <w:tmpl w:val="B77E0804"/>
    <w:lvl w:ilvl="0" w:tplc="FBF44836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78F47F93"/>
    <w:multiLevelType w:val="hybridMultilevel"/>
    <w:tmpl w:val="B2169E6E"/>
    <w:lvl w:ilvl="0" w:tplc="3DE6FDC2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5">
    <w:nsid w:val="7BF82AE0"/>
    <w:multiLevelType w:val="hybridMultilevel"/>
    <w:tmpl w:val="40102F32"/>
    <w:lvl w:ilvl="0" w:tplc="19B82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23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22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8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06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A5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3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5A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86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7"/>
  </w:num>
  <w:num w:numId="10">
    <w:abstractNumId w:val="19"/>
  </w:num>
  <w:num w:numId="11">
    <w:abstractNumId w:val="16"/>
  </w:num>
  <w:num w:numId="12">
    <w:abstractNumId w:val="14"/>
  </w:num>
  <w:num w:numId="13">
    <w:abstractNumId w:val="3"/>
  </w:num>
  <w:num w:numId="14">
    <w:abstractNumId w:val="20"/>
  </w:num>
  <w:num w:numId="15">
    <w:abstractNumId w:val="4"/>
  </w:num>
  <w:num w:numId="16">
    <w:abstractNumId w:val="25"/>
  </w:num>
  <w:num w:numId="17">
    <w:abstractNumId w:val="1"/>
  </w:num>
  <w:num w:numId="18">
    <w:abstractNumId w:val="6"/>
  </w:num>
  <w:num w:numId="19">
    <w:abstractNumId w:val="21"/>
  </w:num>
  <w:num w:numId="20">
    <w:abstractNumId w:val="2"/>
  </w:num>
  <w:num w:numId="21">
    <w:abstractNumId w:val="12"/>
  </w:num>
  <w:num w:numId="22">
    <w:abstractNumId w:val="5"/>
  </w:num>
  <w:num w:numId="23">
    <w:abstractNumId w:val="18"/>
  </w:num>
  <w:num w:numId="24">
    <w:abstractNumId w:val="24"/>
  </w:num>
  <w:num w:numId="25">
    <w:abstractNumId w:val="0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F"/>
    <w:rsid w:val="000207F5"/>
    <w:rsid w:val="000651B2"/>
    <w:rsid w:val="000C6BE9"/>
    <w:rsid w:val="00100524"/>
    <w:rsid w:val="001B5487"/>
    <w:rsid w:val="001D554A"/>
    <w:rsid w:val="00226C07"/>
    <w:rsid w:val="00342C4F"/>
    <w:rsid w:val="00605B0F"/>
    <w:rsid w:val="006D3EC1"/>
    <w:rsid w:val="007E024A"/>
    <w:rsid w:val="008553A0"/>
    <w:rsid w:val="00890947"/>
    <w:rsid w:val="008F6D5F"/>
    <w:rsid w:val="00905CAC"/>
    <w:rsid w:val="0096247E"/>
    <w:rsid w:val="00AE0218"/>
    <w:rsid w:val="00B52ADD"/>
    <w:rsid w:val="00BF63F8"/>
    <w:rsid w:val="00DD6512"/>
    <w:rsid w:val="00EB2C77"/>
    <w:rsid w:val="00F65242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5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B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C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3C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5B0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5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5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B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C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3C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5B0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5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&#20892;&#38505;&#21830;&#38750;&#32508;&#21512;&#25104;&#26412;&#295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&#20892;&#38505;&#21830;&#38750;&#32508;&#21512;&#25104;&#26412;&#2957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&#20892;&#38505;&#21830;&#38750;&#32508;&#21512;&#25104;&#26412;&#2957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&#20892;&#38505;&#21830;&#38750;&#32508;&#21512;&#25104;&#26412;&#295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&#20892;&#38505;&#12289;&#20351;&#29992;&#24615;&#36136;&#20445;&#36153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&#20892;&#38505;&#12289;&#20351;&#29992;&#24615;&#36136;&#20445;&#36153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&#20892;&#38505;&#12289;&#20351;&#29992;&#24615;&#36136;&#20445;&#36153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&#20892;&#38505;&#12289;&#20351;&#29992;&#24615;&#36136;&#20445;&#36153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0--&#21327;&#20250;&#24037;&#20316;\2020-&#34892;&#19994;&#25968;&#25454;\202006\2020&#24180;6&#26376;&#20998;&#26512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+mn-ea"/>
                <a:ea typeface="+mn-ea"/>
                <a:cs typeface="宋体"/>
              </a:defRPr>
            </a:pPr>
            <a:r>
              <a:rPr lang="en-US" altLang="zh-CN" sz="1600" b="1" i="0" u="none" strike="noStrike" baseline="0" dirty="0">
                <a:solidFill>
                  <a:srgbClr val="000000"/>
                </a:solidFill>
                <a:latin typeface="+mn-ea"/>
                <a:ea typeface="+mn-ea"/>
              </a:rPr>
              <a:t>2020</a:t>
            </a:r>
            <a:r>
              <a:rPr lang="zh-CN" altLang="en-US" sz="1600" b="1" i="0" u="none" strike="noStrike" baseline="0" dirty="0">
                <a:solidFill>
                  <a:srgbClr val="000000"/>
                </a:solidFill>
                <a:latin typeface="+mn-ea"/>
                <a:ea typeface="+mn-ea"/>
              </a:rPr>
              <a:t>年上半年各财险公司市场份额（</a:t>
            </a:r>
            <a:r>
              <a:rPr lang="en-US" altLang="zh-CN" sz="1600" b="1" i="0" u="none" strike="noStrike" baseline="0" dirty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600" b="1" i="0" u="none" strike="noStrike" baseline="0" dirty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7224617250946342"/>
          <c:y val="8.772269388114194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227134992628116E-2"/>
          <c:y val="0.22906611533893459"/>
          <c:w val="0.9447728650073719"/>
          <c:h val="0.55571155878242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Sheet1!$B$142</c:f>
              <c:strCache>
                <c:ptCount val="1"/>
                <c:pt idx="0">
                  <c:v>201906</c:v>
                </c:pt>
              </c:strCache>
            </c:strRef>
          </c:tx>
          <c:invertIfNegative val="0"/>
          <c:cat>
            <c:strRef>
              <c:f>Sheet1!$A$143:$A$162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英大泰和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</c:strCache>
            </c:strRef>
          </c:cat>
          <c:val>
            <c:numRef>
              <c:f>Sheet1!$B$143:$B$162</c:f>
              <c:numCache>
                <c:formatCode>0.00%</c:formatCode>
                <c:ptCount val="20"/>
                <c:pt idx="0">
                  <c:v>0.3931375480600357</c:v>
                </c:pt>
                <c:pt idx="1">
                  <c:v>8.6857610066538943E-2</c:v>
                </c:pt>
                <c:pt idx="2">
                  <c:v>0.15857177740729145</c:v>
                </c:pt>
                <c:pt idx="3">
                  <c:v>0.10452793340713615</c:v>
                </c:pt>
                <c:pt idx="4">
                  <c:v>7.8231600571328861E-3</c:v>
                </c:pt>
                <c:pt idx="5">
                  <c:v>2.2582673638745162E-2</c:v>
                </c:pt>
                <c:pt idx="6">
                  <c:v>1.3693254730386729E-2</c:v>
                </c:pt>
                <c:pt idx="7">
                  <c:v>5.3337161529579916E-4</c:v>
                </c:pt>
                <c:pt idx="8">
                  <c:v>2.0660602773587149E-2</c:v>
                </c:pt>
                <c:pt idx="9">
                  <c:v>3.0535893099625702E-3</c:v>
                </c:pt>
                <c:pt idx="10">
                  <c:v>4.7331650941961179E-2</c:v>
                </c:pt>
                <c:pt idx="11">
                  <c:v>9.435274044235973E-3</c:v>
                </c:pt>
                <c:pt idx="12">
                  <c:v>3.7382162976299003E-2</c:v>
                </c:pt>
                <c:pt idx="13">
                  <c:v>1.3214325444070999E-2</c:v>
                </c:pt>
                <c:pt idx="14">
                  <c:v>4.0045378592236537E-2</c:v>
                </c:pt>
                <c:pt idx="15">
                  <c:v>8.5625010150729326E-3</c:v>
                </c:pt>
                <c:pt idx="16">
                  <c:v>8.8818805726873298E-3</c:v>
                </c:pt>
                <c:pt idx="17">
                  <c:v>9.8750926547529188E-3</c:v>
                </c:pt>
                <c:pt idx="18">
                  <c:v>6.9278137860753035E-3</c:v>
                </c:pt>
                <c:pt idx="19">
                  <c:v>6.9023989064948702E-3</c:v>
                </c:pt>
              </c:numCache>
            </c:numRef>
          </c:val>
        </c:ser>
        <c:ser>
          <c:idx val="1"/>
          <c:order val="1"/>
          <c:tx>
            <c:strRef>
              <c:f>Sheet1!$C$142</c:f>
              <c:strCache>
                <c:ptCount val="1"/>
                <c:pt idx="0">
                  <c:v>202006</c:v>
                </c:pt>
              </c:strCache>
            </c:strRef>
          </c:tx>
          <c:invertIfNegative val="0"/>
          <c:cat>
            <c:strRef>
              <c:f>Sheet1!$A$143:$A$162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英大泰和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</c:strCache>
            </c:strRef>
          </c:cat>
          <c:val>
            <c:numRef>
              <c:f>Sheet1!$C$143:$C$162</c:f>
              <c:numCache>
                <c:formatCode>0.00%</c:formatCode>
                <c:ptCount val="20"/>
                <c:pt idx="0">
                  <c:v>0.38641563074985485</c:v>
                </c:pt>
                <c:pt idx="1">
                  <c:v>0.13060123879133301</c:v>
                </c:pt>
                <c:pt idx="2">
                  <c:v>0.15018424920279286</c:v>
                </c:pt>
                <c:pt idx="3">
                  <c:v>9.9741879996183128E-2</c:v>
                </c:pt>
                <c:pt idx="4">
                  <c:v>7.0080018277058976E-3</c:v>
                </c:pt>
                <c:pt idx="5">
                  <c:v>1.2665395116209394E-2</c:v>
                </c:pt>
                <c:pt idx="6">
                  <c:v>9.0676923429263007E-3</c:v>
                </c:pt>
                <c:pt idx="7">
                  <c:v>2.0390395136404955E-3</c:v>
                </c:pt>
                <c:pt idx="8">
                  <c:v>1.8682380256123187E-2</c:v>
                </c:pt>
                <c:pt idx="9">
                  <c:v>1.440676698427299E-3</c:v>
                </c:pt>
                <c:pt idx="10">
                  <c:v>4.7581802819514435E-2</c:v>
                </c:pt>
                <c:pt idx="11">
                  <c:v>8.1200185736156512E-3</c:v>
                </c:pt>
                <c:pt idx="12">
                  <c:v>3.6401372459967586E-2</c:v>
                </c:pt>
                <c:pt idx="13">
                  <c:v>2.7351755285832079E-2</c:v>
                </c:pt>
                <c:pt idx="14">
                  <c:v>3.6803393014702639E-2</c:v>
                </c:pt>
                <c:pt idx="15">
                  <c:v>3.0528458280513846E-3</c:v>
                </c:pt>
                <c:pt idx="16">
                  <c:v>7.8273746078184846E-3</c:v>
                </c:pt>
                <c:pt idx="17">
                  <c:v>6.2967283485903924E-3</c:v>
                </c:pt>
                <c:pt idx="18">
                  <c:v>3.0864549323639271E-3</c:v>
                </c:pt>
                <c:pt idx="19">
                  <c:v>5.6189092186969295E-3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5456512"/>
        <c:axId val="38777600"/>
        <c:axId val="0"/>
      </c:bar3DChart>
      <c:catAx>
        <c:axId val="31545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777600"/>
        <c:crosses val="autoZero"/>
        <c:auto val="1"/>
        <c:lblAlgn val="ctr"/>
        <c:lblOffset val="100"/>
        <c:noMultiLvlLbl val="0"/>
      </c:catAx>
      <c:valAx>
        <c:axId val="3877760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154565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400" dirty="0"/>
              <a:t> 上半年商非</a:t>
            </a:r>
            <a:r>
              <a:rPr lang="en-US" altLang="zh-CN" sz="1400" dirty="0"/>
              <a:t>-</a:t>
            </a:r>
            <a:r>
              <a:rPr lang="zh-CN" altLang="en-US" sz="1400" dirty="0"/>
              <a:t>各险种保费对比情况（万元）</a:t>
            </a:r>
          </a:p>
        </c:rich>
      </c:tx>
      <c:layout>
        <c:manualLayout>
          <c:xMode val="edge"/>
          <c:yMode val="edge"/>
          <c:x val="0.2042429760300887"/>
          <c:y val="7.304108434092178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2125803192807E-2"/>
          <c:y val="0.27969029315729188"/>
          <c:w val="0.90975786331376873"/>
          <c:h val="0.472010445972662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Sheet1!$D$47</c:f>
              <c:strCache>
                <c:ptCount val="1"/>
                <c:pt idx="0">
                  <c:v>2019年6月</c:v>
                </c:pt>
              </c:strCache>
            </c:strRef>
          </c:tx>
          <c:invertIfNegative val="0"/>
          <c:cat>
            <c:strRef>
              <c:f>Sheet1!$C$48:$C$54</c:f>
              <c:strCache>
                <c:ptCount val="6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其他</c:v>
                </c:pt>
              </c:strCache>
            </c:strRef>
          </c:cat>
          <c:val>
            <c:numRef>
              <c:f>Sheet1!$D$48:$D$54</c:f>
              <c:numCache>
                <c:formatCode>0_ </c:formatCode>
                <c:ptCount val="7"/>
                <c:pt idx="0">
                  <c:v>1362.1347330000001</c:v>
                </c:pt>
                <c:pt idx="1">
                  <c:v>513.28442399999994</c:v>
                </c:pt>
                <c:pt idx="2">
                  <c:v>236.78308900000002</c:v>
                </c:pt>
                <c:pt idx="3">
                  <c:v>2756.3166000000001</c:v>
                </c:pt>
                <c:pt idx="4">
                  <c:v>3681.2594269999991</c:v>
                </c:pt>
                <c:pt idx="5">
                  <c:v>2615.7937339999994</c:v>
                </c:pt>
              </c:numCache>
            </c:numRef>
          </c:val>
        </c:ser>
        <c:ser>
          <c:idx val="1"/>
          <c:order val="1"/>
          <c:tx>
            <c:strRef>
              <c:f>Sheet1!$E$47</c:f>
              <c:strCache>
                <c:ptCount val="1"/>
                <c:pt idx="0">
                  <c:v>2020年6月</c:v>
                </c:pt>
              </c:strCache>
            </c:strRef>
          </c:tx>
          <c:invertIfNegative val="0"/>
          <c:cat>
            <c:strRef>
              <c:f>Sheet1!$C$48:$C$54</c:f>
              <c:strCache>
                <c:ptCount val="6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其他</c:v>
                </c:pt>
              </c:strCache>
            </c:strRef>
          </c:cat>
          <c:val>
            <c:numRef>
              <c:f>Sheet1!$E$48:$E$54</c:f>
              <c:numCache>
                <c:formatCode>0_ </c:formatCode>
                <c:ptCount val="7"/>
                <c:pt idx="0">
                  <c:v>1822.0876879999998</c:v>
                </c:pt>
                <c:pt idx="1">
                  <c:v>629.29095400000017</c:v>
                </c:pt>
                <c:pt idx="2">
                  <c:v>147.39342100000002</c:v>
                </c:pt>
                <c:pt idx="3">
                  <c:v>3816.3042500000001</c:v>
                </c:pt>
                <c:pt idx="4">
                  <c:v>11528.992141000002</c:v>
                </c:pt>
                <c:pt idx="5">
                  <c:v>2053.7954409999998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15040"/>
        <c:axId val="41849600"/>
        <c:axId val="0"/>
      </c:bar3DChart>
      <c:catAx>
        <c:axId val="4181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849600"/>
        <c:crosses val="autoZero"/>
        <c:auto val="1"/>
        <c:lblAlgn val="ctr"/>
        <c:lblOffset val="100"/>
        <c:noMultiLvlLbl val="0"/>
      </c:catAx>
      <c:valAx>
        <c:axId val="41849600"/>
        <c:scaling>
          <c:orientation val="minMax"/>
        </c:scaling>
        <c:delete val="0"/>
        <c:axPos val="l"/>
        <c:majorGridlines/>
        <c:numFmt formatCode="0_ " sourceLinked="1"/>
        <c:majorTickMark val="none"/>
        <c:minorTickMark val="none"/>
        <c:tickLblPos val="nextTo"/>
        <c:crossAx val="41815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solidFill>
                <a:srgbClr val="0070C0"/>
              </a:solidFill>
              <a:latin typeface="微软雅黑" pitchFamily="34" charset="-122"/>
              <a:ea typeface="微软雅黑" pitchFamily="34" charset="-122"/>
            </a:defRPr>
          </a:pPr>
          <a:endParaRPr lang="zh-CN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074655012075731E-2"/>
          <c:y val="0.23328464149295911"/>
          <c:w val="0.85245567027143376"/>
          <c:h val="0.65962525799894534"/>
        </c:manualLayout>
      </c:layout>
      <c:pie3DChart>
        <c:varyColors val="1"/>
        <c:ser>
          <c:idx val="0"/>
          <c:order val="0"/>
          <c:tx>
            <c:strRef>
              <c:f>县域保费!$B$16</c:f>
              <c:strCache>
                <c:ptCount val="1"/>
                <c:pt idx="0">
                  <c:v>上半年县域保费收入情况（万元）</c:v>
                </c:pt>
              </c:strCache>
            </c:strRef>
          </c:tx>
          <c:dLbls>
            <c:dLbl>
              <c:idx val="0"/>
              <c:layout>
                <c:manualLayout>
                  <c:x val="9.4829023537583754E-2"/>
                  <c:y val="-0.176229905813758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dirty="0" smtClean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东港：保费</a:t>
                    </a:r>
                    <a:r>
                      <a:rPr lang="en-US" altLang="en-US" sz="1100" dirty="0" smtClean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24346</a:t>
                    </a:r>
                    <a:r>
                      <a:rPr lang="zh-CN" altLang="en-US" sz="1100" dirty="0" smtClean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万，份额</a:t>
                    </a:r>
                    <a:r>
                      <a:rPr lang="en-US" altLang="zh-CN" sz="1100" dirty="0" smtClean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52.69%</a:t>
                    </a:r>
                    <a:endParaRPr lang="en-US" alt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551870471668041E-2"/>
                  <c:y val="-4.918610980129389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smtClean="0">
                        <a:solidFill>
                          <a:sysClr val="windowText" lastClr="000000"/>
                        </a:solidFill>
                      </a:rPr>
                      <a:t>凤城：保费</a:t>
                    </a:r>
                    <a:r>
                      <a:rPr lang="en-US" altLang="en-US" sz="1100" smtClean="0">
                        <a:solidFill>
                          <a:sysClr val="windowText" lastClr="000000"/>
                        </a:solidFill>
                      </a:rPr>
                      <a:t>12578</a:t>
                    </a:r>
                    <a:r>
                      <a:rPr lang="zh-CN" altLang="en-US" sz="1100" smtClean="0">
                        <a:solidFill>
                          <a:sysClr val="windowText" lastClr="000000"/>
                        </a:solidFill>
                      </a:rPr>
                      <a:t>万，份额</a:t>
                    </a:r>
                    <a:r>
                      <a:rPr lang="en-US" altLang="zh-CN" sz="1100" smtClean="0">
                        <a:solidFill>
                          <a:sysClr val="windowText" lastClr="000000"/>
                        </a:solidFill>
                      </a:rPr>
                      <a:t>27.22%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99189122011684"/>
                  <c:y val="5.567652448231993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dirty="0" smtClean="0">
                        <a:solidFill>
                          <a:sysClr val="windowText" lastClr="000000"/>
                        </a:solidFill>
                      </a:rPr>
                      <a:t>宽甸： 保费</a:t>
                    </a:r>
                    <a:r>
                      <a:rPr lang="en-US" altLang="en-US" sz="1100" dirty="0" smtClean="0">
                        <a:solidFill>
                          <a:sysClr val="windowText" lastClr="000000"/>
                        </a:solidFill>
                      </a:rPr>
                      <a:t>9282</a:t>
                    </a:r>
                    <a:r>
                      <a:rPr lang="zh-CN" altLang="en-US" sz="1100" dirty="0" smtClean="0">
                        <a:solidFill>
                          <a:sysClr val="windowText" lastClr="000000"/>
                        </a:solidFill>
                      </a:rPr>
                      <a:t>万， 份额</a:t>
                    </a:r>
                    <a:r>
                      <a:rPr lang="en-US" altLang="zh-CN" sz="1100" dirty="0" smtClean="0">
                        <a:solidFill>
                          <a:sysClr val="windowText" lastClr="000000"/>
                        </a:solidFill>
                      </a:rPr>
                      <a:t>20.09%</a:t>
                    </a:r>
                    <a:endParaRPr lang="en-US" alt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100">
                    <a:solidFill>
                      <a:sysClr val="windowText" lastClr="000000"/>
                    </a:solidFill>
                    <a:latin typeface="微软雅黑" pitchFamily="34" charset="-122"/>
                    <a:ea typeface="微软雅黑" pitchFamily="34" charset="-122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县域保费!$A$17:$A$19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县域保费!$B$17:$B$19</c:f>
              <c:numCache>
                <c:formatCode>0</c:formatCode>
                <c:ptCount val="3"/>
                <c:pt idx="0">
                  <c:v>24345.690024000003</c:v>
                </c:pt>
                <c:pt idx="1">
                  <c:v>12578.447418</c:v>
                </c:pt>
                <c:pt idx="2">
                  <c:v>9281.6531279999999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上半年县域各险类保费收入情况（万元）</a:t>
            </a:r>
          </a:p>
        </c:rich>
      </c:tx>
      <c:layout>
        <c:manualLayout>
          <c:xMode val="edge"/>
          <c:yMode val="edge"/>
          <c:x val="0.11333968090840853"/>
          <c:y val="2.75862068965517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Sheet1!$D$40</c:f>
              <c:strCache>
                <c:ptCount val="1"/>
                <c:pt idx="0">
                  <c:v>东港</c:v>
                </c:pt>
              </c:strCache>
            </c:strRef>
          </c:tx>
          <c:invertIfNegative val="0"/>
          <c:cat>
            <c:strRef>
              <c:f>Sheet1!$C$41:$C$44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Sheet1!$D$41:$D$44</c:f>
              <c:numCache>
                <c:formatCode>0_ </c:formatCode>
                <c:ptCount val="4"/>
                <c:pt idx="0">
                  <c:v>13176.446100000001</c:v>
                </c:pt>
                <c:pt idx="1">
                  <c:v>3844.0439240000014</c:v>
                </c:pt>
                <c:pt idx="2">
                  <c:v>7325.2000000000007</c:v>
                </c:pt>
                <c:pt idx="3">
                  <c:v>24345.690024000003</c:v>
                </c:pt>
              </c:numCache>
            </c:numRef>
          </c:val>
        </c:ser>
        <c:ser>
          <c:idx val="1"/>
          <c:order val="1"/>
          <c:tx>
            <c:strRef>
              <c:f>Sheet1!$E$40</c:f>
              <c:strCache>
                <c:ptCount val="1"/>
                <c:pt idx="0">
                  <c:v>凤城 </c:v>
                </c:pt>
              </c:strCache>
            </c:strRef>
          </c:tx>
          <c:invertIfNegative val="0"/>
          <c:cat>
            <c:strRef>
              <c:f>Sheet1!$C$41:$C$44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Sheet1!$E$41:$E$44</c:f>
              <c:numCache>
                <c:formatCode>0_ </c:formatCode>
                <c:ptCount val="4"/>
                <c:pt idx="0">
                  <c:v>6631.1839329999993</c:v>
                </c:pt>
                <c:pt idx="1">
                  <c:v>1368.3297850000008</c:v>
                </c:pt>
                <c:pt idx="2">
                  <c:v>4578.9336999999996</c:v>
                </c:pt>
                <c:pt idx="3">
                  <c:v>12578.447418</c:v>
                </c:pt>
              </c:numCache>
            </c:numRef>
          </c:val>
        </c:ser>
        <c:ser>
          <c:idx val="2"/>
          <c:order val="2"/>
          <c:tx>
            <c:strRef>
              <c:f>Sheet1!$F$40</c:f>
              <c:strCache>
                <c:ptCount val="1"/>
                <c:pt idx="0">
                  <c:v>宽甸</c:v>
                </c:pt>
              </c:strCache>
            </c:strRef>
          </c:tx>
          <c:invertIfNegative val="0"/>
          <c:cat>
            <c:strRef>
              <c:f>Sheet1!$C$41:$C$44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Sheet1!$F$41:$F$44</c:f>
              <c:numCache>
                <c:formatCode>0_ </c:formatCode>
                <c:ptCount val="4"/>
                <c:pt idx="0">
                  <c:v>4695.2979989999994</c:v>
                </c:pt>
                <c:pt idx="1">
                  <c:v>1125.8701290000008</c:v>
                </c:pt>
                <c:pt idx="2">
                  <c:v>3460.4849999999997</c:v>
                </c:pt>
                <c:pt idx="3">
                  <c:v>9281.6531279999999</c:v>
                </c:pt>
              </c:numCache>
            </c:numRef>
          </c:val>
        </c:ser>
        <c:ser>
          <c:idx val="3"/>
          <c:order val="3"/>
          <c:tx>
            <c:strRef>
              <c:f>Sheet1!$G$40</c:f>
              <c:strCache>
                <c:ptCount val="1"/>
                <c:pt idx="0">
                  <c:v>县域总量</c:v>
                </c:pt>
              </c:strCache>
            </c:strRef>
          </c:tx>
          <c:invertIfNegative val="0"/>
          <c:cat>
            <c:strRef>
              <c:f>Sheet1!$C$41:$C$44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Sheet1!$G$41:$G$44</c:f>
              <c:numCache>
                <c:formatCode>0_ </c:formatCode>
                <c:ptCount val="4"/>
                <c:pt idx="0">
                  <c:v>24502.928032</c:v>
                </c:pt>
                <c:pt idx="1">
                  <c:v>6338.2438380000031</c:v>
                </c:pt>
                <c:pt idx="2">
                  <c:v>15364.618699999999</c:v>
                </c:pt>
                <c:pt idx="3">
                  <c:v>46205.790569999997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41921536"/>
        <c:axId val="41923328"/>
        <c:axId val="0"/>
      </c:bar3DChart>
      <c:catAx>
        <c:axId val="4192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923328"/>
        <c:crosses val="autoZero"/>
        <c:auto val="1"/>
        <c:lblAlgn val="ctr"/>
        <c:lblOffset val="100"/>
        <c:noMultiLvlLbl val="0"/>
      </c:catAx>
      <c:valAx>
        <c:axId val="41923328"/>
        <c:scaling>
          <c:orientation val="minMax"/>
        </c:scaling>
        <c:delete val="0"/>
        <c:axPos val="l"/>
        <c:majorGridlines/>
        <c:numFmt formatCode="0_ " sourceLinked="1"/>
        <c:majorTickMark val="none"/>
        <c:minorTickMark val="none"/>
        <c:tickLblPos val="nextTo"/>
        <c:crossAx val="419215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上半年商业险结案率（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Sheet2!$D$2</c:f>
              <c:strCache>
                <c:ptCount val="1"/>
                <c:pt idx="0">
                  <c:v>商业险结案率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6"/>
            <c:invertIfNegative val="0"/>
            <c:bubble3D val="0"/>
          </c:dPt>
          <c:cat>
            <c:strRef>
              <c:f>Sheet2!$C$3:$C$23</c:f>
              <c:strCache>
                <c:ptCount val="21"/>
                <c:pt idx="0">
                  <c:v>天安</c:v>
                </c:pt>
                <c:pt idx="1">
                  <c:v>人保</c:v>
                </c:pt>
                <c:pt idx="2">
                  <c:v>安华</c:v>
                </c:pt>
                <c:pt idx="3">
                  <c:v>市均</c:v>
                </c:pt>
                <c:pt idx="4">
                  <c:v>渤海</c:v>
                </c:pt>
                <c:pt idx="5">
                  <c:v>大家</c:v>
                </c:pt>
                <c:pt idx="6">
                  <c:v>平安</c:v>
                </c:pt>
                <c:pt idx="7">
                  <c:v>太平洋</c:v>
                </c:pt>
                <c:pt idx="8">
                  <c:v>国寿财</c:v>
                </c:pt>
                <c:pt idx="9">
                  <c:v>永安</c:v>
                </c:pt>
                <c:pt idx="10">
                  <c:v>浙商</c:v>
                </c:pt>
                <c:pt idx="11">
                  <c:v>中华联合</c:v>
                </c:pt>
                <c:pt idx="12">
                  <c:v>英大泰和</c:v>
                </c:pt>
                <c:pt idx="13">
                  <c:v>大地</c:v>
                </c:pt>
                <c:pt idx="14">
                  <c:v>阳光</c:v>
                </c:pt>
                <c:pt idx="15">
                  <c:v>富邦</c:v>
                </c:pt>
                <c:pt idx="16">
                  <c:v>太平</c:v>
                </c:pt>
                <c:pt idx="17">
                  <c:v>华安</c:v>
                </c:pt>
                <c:pt idx="18">
                  <c:v>民安</c:v>
                </c:pt>
                <c:pt idx="19">
                  <c:v>永诚</c:v>
                </c:pt>
                <c:pt idx="20">
                  <c:v>中航安盟</c:v>
                </c:pt>
              </c:strCache>
            </c:strRef>
          </c:cat>
          <c:val>
            <c:numRef>
              <c:f>Sheet2!$D$3:$D$23</c:f>
              <c:numCache>
                <c:formatCode>0.00%</c:formatCode>
                <c:ptCount val="21"/>
                <c:pt idx="0">
                  <c:v>0.70121951219512191</c:v>
                </c:pt>
                <c:pt idx="1">
                  <c:v>0.7128567225654604</c:v>
                </c:pt>
                <c:pt idx="2">
                  <c:v>0.72142857142857142</c:v>
                </c:pt>
                <c:pt idx="3">
                  <c:v>0.82062516697835963</c:v>
                </c:pt>
                <c:pt idx="4">
                  <c:v>0.83221476510067116</c:v>
                </c:pt>
                <c:pt idx="5">
                  <c:v>0.85</c:v>
                </c:pt>
                <c:pt idx="6">
                  <c:v>0.85839198123267224</c:v>
                </c:pt>
                <c:pt idx="7">
                  <c:v>0.87689133425034382</c:v>
                </c:pt>
                <c:pt idx="8">
                  <c:v>0.88382899628252787</c:v>
                </c:pt>
                <c:pt idx="9">
                  <c:v>0.89489489489489493</c:v>
                </c:pt>
                <c:pt idx="10">
                  <c:v>0.89502762430939231</c:v>
                </c:pt>
                <c:pt idx="11">
                  <c:v>0.89924160346695559</c:v>
                </c:pt>
                <c:pt idx="12">
                  <c:v>0.92553191489361697</c:v>
                </c:pt>
                <c:pt idx="13">
                  <c:v>0.92673992673992678</c:v>
                </c:pt>
                <c:pt idx="14">
                  <c:v>0.92993630573248409</c:v>
                </c:pt>
                <c:pt idx="15">
                  <c:v>0.93305439330543938</c:v>
                </c:pt>
                <c:pt idx="16">
                  <c:v>0.93561643835616437</c:v>
                </c:pt>
                <c:pt idx="17">
                  <c:v>0.9568965517241379</c:v>
                </c:pt>
                <c:pt idx="18">
                  <c:v>0.95909090909090911</c:v>
                </c:pt>
                <c:pt idx="19">
                  <c:v>0.96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945728"/>
        <c:axId val="41959808"/>
      </c:barChart>
      <c:catAx>
        <c:axId val="4194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959808"/>
        <c:crosses val="autoZero"/>
        <c:auto val="1"/>
        <c:lblAlgn val="ctr"/>
        <c:lblOffset val="100"/>
        <c:noMultiLvlLbl val="0"/>
      </c:catAx>
      <c:valAx>
        <c:axId val="4195980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19457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上半年交强险结案率（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Sheet2!$D$50</c:f>
              <c:strCache>
                <c:ptCount val="1"/>
                <c:pt idx="0">
                  <c:v>交强险结案率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7"/>
            <c:invertIfNegative val="0"/>
            <c:bubble3D val="0"/>
          </c:dPt>
          <c:cat>
            <c:strRef>
              <c:f>Sheet2!$C$51:$C$71</c:f>
              <c:strCache>
                <c:ptCount val="21"/>
                <c:pt idx="0">
                  <c:v>安华</c:v>
                </c:pt>
                <c:pt idx="1">
                  <c:v>人保</c:v>
                </c:pt>
                <c:pt idx="2">
                  <c:v>平安</c:v>
                </c:pt>
                <c:pt idx="3">
                  <c:v>浙商</c:v>
                </c:pt>
                <c:pt idx="4">
                  <c:v>市均</c:v>
                </c:pt>
                <c:pt idx="5">
                  <c:v>大家</c:v>
                </c:pt>
                <c:pt idx="6">
                  <c:v>国寿财</c:v>
                </c:pt>
                <c:pt idx="7">
                  <c:v>永安</c:v>
                </c:pt>
                <c:pt idx="8">
                  <c:v>富邦</c:v>
                </c:pt>
                <c:pt idx="9">
                  <c:v>阳光</c:v>
                </c:pt>
                <c:pt idx="10">
                  <c:v>渤海</c:v>
                </c:pt>
                <c:pt idx="11">
                  <c:v>中华联合</c:v>
                </c:pt>
                <c:pt idx="12">
                  <c:v>太平</c:v>
                </c:pt>
                <c:pt idx="13">
                  <c:v>天安</c:v>
                </c:pt>
                <c:pt idx="14">
                  <c:v>太平洋</c:v>
                </c:pt>
                <c:pt idx="15">
                  <c:v>华安</c:v>
                </c:pt>
                <c:pt idx="16">
                  <c:v>中航安盟</c:v>
                </c:pt>
                <c:pt idx="17">
                  <c:v>英大泰和</c:v>
                </c:pt>
                <c:pt idx="18">
                  <c:v>大地</c:v>
                </c:pt>
                <c:pt idx="19">
                  <c:v>永诚</c:v>
                </c:pt>
                <c:pt idx="20">
                  <c:v>亚太</c:v>
                </c:pt>
              </c:strCache>
            </c:strRef>
          </c:cat>
          <c:val>
            <c:numRef>
              <c:f>Sheet2!$D$51:$D$71</c:f>
              <c:numCache>
                <c:formatCode>0.00%</c:formatCode>
                <c:ptCount val="21"/>
                <c:pt idx="0">
                  <c:v>0.77304964539007093</c:v>
                </c:pt>
                <c:pt idx="1">
                  <c:v>0.85565536953858723</c:v>
                </c:pt>
                <c:pt idx="2">
                  <c:v>0.86171213546566316</c:v>
                </c:pt>
                <c:pt idx="3">
                  <c:v>0.8828125</c:v>
                </c:pt>
                <c:pt idx="4">
                  <c:v>0.88722397476340698</c:v>
                </c:pt>
                <c:pt idx="5">
                  <c:v>0.9</c:v>
                </c:pt>
                <c:pt idx="6">
                  <c:v>0.90093708165997322</c:v>
                </c:pt>
                <c:pt idx="7">
                  <c:v>0.90378006872852235</c:v>
                </c:pt>
                <c:pt idx="8">
                  <c:v>0.91724137931034477</c:v>
                </c:pt>
                <c:pt idx="9">
                  <c:v>0.91903719912472648</c:v>
                </c:pt>
                <c:pt idx="10">
                  <c:v>0.92045454545454541</c:v>
                </c:pt>
                <c:pt idx="11">
                  <c:v>0.93301997649823731</c:v>
                </c:pt>
                <c:pt idx="12">
                  <c:v>0.93515358361774747</c:v>
                </c:pt>
                <c:pt idx="13">
                  <c:v>0.93877551020408168</c:v>
                </c:pt>
                <c:pt idx="14">
                  <c:v>0.94377224199288257</c:v>
                </c:pt>
                <c:pt idx="15">
                  <c:v>0.9517241379310345</c:v>
                </c:pt>
                <c:pt idx="16">
                  <c:v>0.95238095238095233</c:v>
                </c:pt>
                <c:pt idx="17">
                  <c:v>0.95744680851063835</c:v>
                </c:pt>
                <c:pt idx="18">
                  <c:v>0.95771144278606968</c:v>
                </c:pt>
                <c:pt idx="19">
                  <c:v>0.98245614035087714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981824"/>
        <c:axId val="41983360"/>
      </c:barChart>
      <c:catAx>
        <c:axId val="4198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983360"/>
        <c:crosses val="autoZero"/>
        <c:auto val="1"/>
        <c:lblAlgn val="ctr"/>
        <c:lblOffset val="100"/>
        <c:noMultiLvlLbl val="0"/>
      </c:catAx>
      <c:valAx>
        <c:axId val="4198336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1981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上半年商业险结案周期（天）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Sheet2!$D$26</c:f>
              <c:strCache>
                <c:ptCount val="1"/>
                <c:pt idx="0">
                  <c:v>商业险结案周期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3"/>
            <c:invertIfNegative val="0"/>
            <c:bubble3D val="0"/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Sheet2!$C$27:$C$47</c:f>
              <c:strCache>
                <c:ptCount val="21"/>
                <c:pt idx="0">
                  <c:v>永诚</c:v>
                </c:pt>
                <c:pt idx="1">
                  <c:v>华安</c:v>
                </c:pt>
                <c:pt idx="2">
                  <c:v>亚太</c:v>
                </c:pt>
                <c:pt idx="3">
                  <c:v>中华联合</c:v>
                </c:pt>
                <c:pt idx="4">
                  <c:v>英大泰和</c:v>
                </c:pt>
                <c:pt idx="5">
                  <c:v>阳光</c:v>
                </c:pt>
                <c:pt idx="6">
                  <c:v>太平</c:v>
                </c:pt>
                <c:pt idx="7">
                  <c:v>大地</c:v>
                </c:pt>
                <c:pt idx="8">
                  <c:v>浙商</c:v>
                </c:pt>
                <c:pt idx="9">
                  <c:v>永安</c:v>
                </c:pt>
                <c:pt idx="10">
                  <c:v>平安</c:v>
                </c:pt>
                <c:pt idx="11">
                  <c:v>太平洋</c:v>
                </c:pt>
                <c:pt idx="12">
                  <c:v>国寿财</c:v>
                </c:pt>
                <c:pt idx="13">
                  <c:v>富邦</c:v>
                </c:pt>
                <c:pt idx="14">
                  <c:v>市均</c:v>
                </c:pt>
                <c:pt idx="15">
                  <c:v>中航安盟</c:v>
                </c:pt>
                <c:pt idx="16">
                  <c:v>天安</c:v>
                </c:pt>
                <c:pt idx="17">
                  <c:v>人保</c:v>
                </c:pt>
                <c:pt idx="18">
                  <c:v>大家</c:v>
                </c:pt>
                <c:pt idx="19">
                  <c:v>渤海</c:v>
                </c:pt>
                <c:pt idx="20">
                  <c:v>安华</c:v>
                </c:pt>
              </c:strCache>
            </c:strRef>
          </c:cat>
          <c:val>
            <c:numRef>
              <c:f>Sheet2!$D$27:$D$47</c:f>
              <c:numCache>
                <c:formatCode>0.00_);[Red]\(0.00\)</c:formatCode>
                <c:ptCount val="21"/>
                <c:pt idx="0">
                  <c:v>3.5833333333333335</c:v>
                </c:pt>
                <c:pt idx="1">
                  <c:v>5.9069069069069071</c:v>
                </c:pt>
                <c:pt idx="2">
                  <c:v>8.2037914691943126</c:v>
                </c:pt>
                <c:pt idx="3">
                  <c:v>9.0168674698795179</c:v>
                </c:pt>
                <c:pt idx="4">
                  <c:v>9.0344827586206904</c:v>
                </c:pt>
                <c:pt idx="5">
                  <c:v>9.3219178082191778</c:v>
                </c:pt>
                <c:pt idx="6">
                  <c:v>10.609077598828696</c:v>
                </c:pt>
                <c:pt idx="7" formatCode="0.00_ ">
                  <c:v>11.039525691699605</c:v>
                </c:pt>
                <c:pt idx="8">
                  <c:v>12.049382716049383</c:v>
                </c:pt>
                <c:pt idx="9">
                  <c:v>12.164429530201343</c:v>
                </c:pt>
                <c:pt idx="10">
                  <c:v>12.209440993788819</c:v>
                </c:pt>
                <c:pt idx="11" formatCode="0.00_ ">
                  <c:v>12.369411764705882</c:v>
                </c:pt>
                <c:pt idx="12" formatCode="0.00_ ">
                  <c:v>12.391167192429021</c:v>
                </c:pt>
                <c:pt idx="13">
                  <c:v>12.466367713004484</c:v>
                </c:pt>
                <c:pt idx="14">
                  <c:v>12.80980596431827</c:v>
                </c:pt>
                <c:pt idx="15">
                  <c:v>13.555555555555555</c:v>
                </c:pt>
                <c:pt idx="16">
                  <c:v>15.173913043478262</c:v>
                </c:pt>
                <c:pt idx="17">
                  <c:v>15.498761865456046</c:v>
                </c:pt>
                <c:pt idx="18">
                  <c:v>15.941176470588236</c:v>
                </c:pt>
                <c:pt idx="19">
                  <c:v>21.338709677419356</c:v>
                </c:pt>
                <c:pt idx="20">
                  <c:v>24.455445544554454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13824"/>
        <c:axId val="42015360"/>
      </c:barChart>
      <c:catAx>
        <c:axId val="4201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015360"/>
        <c:crosses val="autoZero"/>
        <c:auto val="1"/>
        <c:lblAlgn val="ctr"/>
        <c:lblOffset val="100"/>
        <c:noMultiLvlLbl val="0"/>
      </c:catAx>
      <c:valAx>
        <c:axId val="42015360"/>
        <c:scaling>
          <c:orientation val="minMax"/>
        </c:scaling>
        <c:delete val="0"/>
        <c:axPos val="l"/>
        <c:majorGridlines/>
        <c:numFmt formatCode="0.00_);[Red]\(0.00\)" sourceLinked="1"/>
        <c:majorTickMark val="none"/>
        <c:minorTickMark val="none"/>
        <c:tickLblPos val="nextTo"/>
        <c:crossAx val="42013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上半年交强险结案周期（天）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Sheet2!$D$75</c:f>
              <c:strCache>
                <c:ptCount val="1"/>
                <c:pt idx="0">
                  <c:v>交强险结案周期（天）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11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Sheet2!$C$76:$C$96</c:f>
              <c:strCache>
                <c:ptCount val="21"/>
                <c:pt idx="0">
                  <c:v>永诚</c:v>
                </c:pt>
                <c:pt idx="1">
                  <c:v>中华联合</c:v>
                </c:pt>
                <c:pt idx="2">
                  <c:v>华安</c:v>
                </c:pt>
                <c:pt idx="3">
                  <c:v>太平洋</c:v>
                </c:pt>
                <c:pt idx="4">
                  <c:v>大地</c:v>
                </c:pt>
                <c:pt idx="5">
                  <c:v>英大泰和</c:v>
                </c:pt>
                <c:pt idx="6">
                  <c:v>亚太</c:v>
                </c:pt>
                <c:pt idx="7">
                  <c:v>阳光</c:v>
                </c:pt>
                <c:pt idx="8">
                  <c:v>大家</c:v>
                </c:pt>
                <c:pt idx="9">
                  <c:v>永安</c:v>
                </c:pt>
                <c:pt idx="10">
                  <c:v>太平</c:v>
                </c:pt>
                <c:pt idx="11">
                  <c:v>市均</c:v>
                </c:pt>
                <c:pt idx="12">
                  <c:v>国寿财</c:v>
                </c:pt>
                <c:pt idx="13">
                  <c:v>人保</c:v>
                </c:pt>
                <c:pt idx="14">
                  <c:v>富邦</c:v>
                </c:pt>
                <c:pt idx="15">
                  <c:v>平安</c:v>
                </c:pt>
                <c:pt idx="16">
                  <c:v>中航安盟</c:v>
                </c:pt>
                <c:pt idx="17">
                  <c:v>天安</c:v>
                </c:pt>
                <c:pt idx="18">
                  <c:v>浙商</c:v>
                </c:pt>
                <c:pt idx="19">
                  <c:v>渤海</c:v>
                </c:pt>
                <c:pt idx="20">
                  <c:v>安华</c:v>
                </c:pt>
              </c:strCache>
            </c:strRef>
          </c:cat>
          <c:val>
            <c:numRef>
              <c:f>Sheet2!$D$76:$D$96</c:f>
              <c:numCache>
                <c:formatCode>0.00_);[Red]\(0.00\)</c:formatCode>
                <c:ptCount val="21"/>
                <c:pt idx="0">
                  <c:v>3.9107142857142856</c:v>
                </c:pt>
                <c:pt idx="1">
                  <c:v>4.930730478589421</c:v>
                </c:pt>
                <c:pt idx="2">
                  <c:v>5.3949275362318838</c:v>
                </c:pt>
                <c:pt idx="3">
                  <c:v>5.4917043740573153</c:v>
                </c:pt>
                <c:pt idx="4">
                  <c:v>7.174025974025974</c:v>
                </c:pt>
                <c:pt idx="5">
                  <c:v>7.2518518518518515</c:v>
                </c:pt>
                <c:pt idx="6">
                  <c:v>7.666666666666667</c:v>
                </c:pt>
                <c:pt idx="7">
                  <c:v>7.8166666666666664</c:v>
                </c:pt>
                <c:pt idx="8">
                  <c:v>9</c:v>
                </c:pt>
                <c:pt idx="9" formatCode="0.00_ ">
                  <c:v>9.4030418250950571</c:v>
                </c:pt>
                <c:pt idx="10">
                  <c:v>9.5839416058394153</c:v>
                </c:pt>
                <c:pt idx="11">
                  <c:v>9.7774545454545461</c:v>
                </c:pt>
                <c:pt idx="12">
                  <c:v>9.8528974739970288</c:v>
                </c:pt>
                <c:pt idx="13" formatCode="0.00_ ">
                  <c:v>10.900262467191601</c:v>
                </c:pt>
                <c:pt idx="14">
                  <c:v>11.684210526315789</c:v>
                </c:pt>
                <c:pt idx="15">
                  <c:v>12.091339155749637</c:v>
                </c:pt>
                <c:pt idx="16">
                  <c:v>12.1</c:v>
                </c:pt>
                <c:pt idx="17">
                  <c:v>12.739130434782609</c:v>
                </c:pt>
                <c:pt idx="18">
                  <c:v>12.831858407079647</c:v>
                </c:pt>
                <c:pt idx="19">
                  <c:v>13.296296296296296</c:v>
                </c:pt>
                <c:pt idx="20">
                  <c:v>20.201834862385322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45824"/>
        <c:axId val="42047360"/>
      </c:barChart>
      <c:catAx>
        <c:axId val="4204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047360"/>
        <c:crosses val="autoZero"/>
        <c:auto val="1"/>
        <c:lblAlgn val="ctr"/>
        <c:lblOffset val="100"/>
        <c:noMultiLvlLbl val="0"/>
      </c:catAx>
      <c:valAx>
        <c:axId val="42047360"/>
        <c:scaling>
          <c:orientation val="minMax"/>
        </c:scaling>
        <c:delete val="0"/>
        <c:axPos val="l"/>
        <c:majorGridlines/>
        <c:numFmt formatCode="0.00_);[Red]\(0.00\)" sourceLinked="1"/>
        <c:majorTickMark val="none"/>
        <c:minorTickMark val="none"/>
        <c:tickLblPos val="nextTo"/>
        <c:crossAx val="42045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上半年各主体综合成本率（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43087319397874E-2"/>
          <c:y val="0.22367628814218335"/>
          <c:w val="0.92100979028032159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'综合成本率 (2)'!$B$1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'综合成本率 (2)'!$A$2:$A$21</c:f>
              <c:strCache>
                <c:ptCount val="20"/>
                <c:pt idx="0">
                  <c:v>渤海</c:v>
                </c:pt>
                <c:pt idx="1">
                  <c:v>永城</c:v>
                </c:pt>
                <c:pt idx="2">
                  <c:v>英大</c:v>
                </c:pt>
                <c:pt idx="3">
                  <c:v>太平</c:v>
                </c:pt>
                <c:pt idx="4">
                  <c:v>太平洋</c:v>
                </c:pt>
                <c:pt idx="5">
                  <c:v>平安</c:v>
                </c:pt>
                <c:pt idx="6">
                  <c:v>人保</c:v>
                </c:pt>
                <c:pt idx="7">
                  <c:v>华安</c:v>
                </c:pt>
                <c:pt idx="8">
                  <c:v>国寿财</c:v>
                </c:pt>
                <c:pt idx="9">
                  <c:v>天安</c:v>
                </c:pt>
                <c:pt idx="10">
                  <c:v>永安</c:v>
                </c:pt>
                <c:pt idx="11">
                  <c:v>阳光</c:v>
                </c:pt>
                <c:pt idx="12">
                  <c:v>中华联合</c:v>
                </c:pt>
                <c:pt idx="13">
                  <c:v>大地</c:v>
                </c:pt>
                <c:pt idx="14">
                  <c:v>富邦</c:v>
                </c:pt>
                <c:pt idx="15">
                  <c:v>浙商</c:v>
                </c:pt>
                <c:pt idx="16">
                  <c:v>大家</c:v>
                </c:pt>
                <c:pt idx="17">
                  <c:v>亚太</c:v>
                </c:pt>
                <c:pt idx="18">
                  <c:v>中航安盟</c:v>
                </c:pt>
                <c:pt idx="19">
                  <c:v>安华</c:v>
                </c:pt>
              </c:strCache>
            </c:strRef>
          </c:cat>
          <c:val>
            <c:numRef>
              <c:f>'综合成本率 (2)'!$B$2:$B$21</c:f>
              <c:numCache>
                <c:formatCode>0.00%</c:formatCode>
                <c:ptCount val="20"/>
                <c:pt idx="0">
                  <c:v>0.66249999999999998</c:v>
                </c:pt>
                <c:pt idx="1">
                  <c:v>0.67190000000000005</c:v>
                </c:pt>
                <c:pt idx="2">
                  <c:v>0.7883</c:v>
                </c:pt>
                <c:pt idx="3">
                  <c:v>0.87470000000000003</c:v>
                </c:pt>
                <c:pt idx="4">
                  <c:v>0.88249999999999995</c:v>
                </c:pt>
                <c:pt idx="5">
                  <c:v>0.89749999999999996</c:v>
                </c:pt>
                <c:pt idx="6">
                  <c:v>0.90039999999999998</c:v>
                </c:pt>
                <c:pt idx="7">
                  <c:v>0.90369999999999995</c:v>
                </c:pt>
                <c:pt idx="8">
                  <c:v>0.90590000000000004</c:v>
                </c:pt>
                <c:pt idx="9">
                  <c:v>0.94899999999999995</c:v>
                </c:pt>
                <c:pt idx="10">
                  <c:v>0.96740000000000004</c:v>
                </c:pt>
                <c:pt idx="11">
                  <c:v>0.99270000000000003</c:v>
                </c:pt>
                <c:pt idx="12">
                  <c:v>1.0469999999999999</c:v>
                </c:pt>
                <c:pt idx="13">
                  <c:v>1.1358999999999999</c:v>
                </c:pt>
                <c:pt idx="14">
                  <c:v>1.1405000000000001</c:v>
                </c:pt>
                <c:pt idx="15">
                  <c:v>1.1829000000000001</c:v>
                </c:pt>
                <c:pt idx="16">
                  <c:v>1.2302</c:v>
                </c:pt>
                <c:pt idx="17">
                  <c:v>1.2514000000000001</c:v>
                </c:pt>
                <c:pt idx="18">
                  <c:v>1.3660000000000001</c:v>
                </c:pt>
                <c:pt idx="19">
                  <c:v>1.6415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060416"/>
        <c:axId val="42074496"/>
        <c:axId val="0"/>
      </c:bar3DChart>
      <c:catAx>
        <c:axId val="4206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074496"/>
        <c:crosses val="autoZero"/>
        <c:auto val="1"/>
        <c:lblAlgn val="ctr"/>
        <c:lblOffset val="100"/>
        <c:noMultiLvlLbl val="0"/>
      </c:catAx>
      <c:valAx>
        <c:axId val="4207449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2060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上半年各主体车险综合成本率（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96077813189384E-2"/>
          <c:y val="0.22367628814218335"/>
          <c:w val="0.9243568030573146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车综合成本率!$A$2:$A$21</c:f>
              <c:strCache>
                <c:ptCount val="20"/>
                <c:pt idx="0">
                  <c:v>中航安盟</c:v>
                </c:pt>
                <c:pt idx="1">
                  <c:v>渤海</c:v>
                </c:pt>
                <c:pt idx="2">
                  <c:v>英大</c:v>
                </c:pt>
                <c:pt idx="3">
                  <c:v>亚太</c:v>
                </c:pt>
                <c:pt idx="4">
                  <c:v>永城</c:v>
                </c:pt>
                <c:pt idx="5">
                  <c:v>太平</c:v>
                </c:pt>
                <c:pt idx="6">
                  <c:v>中华联合</c:v>
                </c:pt>
                <c:pt idx="7">
                  <c:v>太平洋</c:v>
                </c:pt>
                <c:pt idx="8">
                  <c:v>国寿财</c:v>
                </c:pt>
                <c:pt idx="9">
                  <c:v>平安</c:v>
                </c:pt>
                <c:pt idx="10">
                  <c:v>华安</c:v>
                </c:pt>
                <c:pt idx="11">
                  <c:v>人保</c:v>
                </c:pt>
                <c:pt idx="12">
                  <c:v>永安</c:v>
                </c:pt>
                <c:pt idx="13">
                  <c:v>阳光</c:v>
                </c:pt>
                <c:pt idx="14">
                  <c:v>天安</c:v>
                </c:pt>
                <c:pt idx="15">
                  <c:v>大地</c:v>
                </c:pt>
                <c:pt idx="16">
                  <c:v>大家</c:v>
                </c:pt>
                <c:pt idx="17">
                  <c:v>富邦</c:v>
                </c:pt>
                <c:pt idx="18">
                  <c:v>浙商</c:v>
                </c:pt>
                <c:pt idx="19">
                  <c:v>安华</c:v>
                </c:pt>
              </c:strCache>
            </c:strRef>
          </c:cat>
          <c:val>
            <c:numRef>
              <c:f>车综合成本率!$B$2:$B$21</c:f>
              <c:numCache>
                <c:formatCode>0.00%</c:formatCode>
                <c:ptCount val="20"/>
                <c:pt idx="0">
                  <c:v>0.57799999999999996</c:v>
                </c:pt>
                <c:pt idx="1">
                  <c:v>0.68759999999999999</c:v>
                </c:pt>
                <c:pt idx="2">
                  <c:v>0.7964</c:v>
                </c:pt>
                <c:pt idx="3">
                  <c:v>0.82399999999999995</c:v>
                </c:pt>
                <c:pt idx="4">
                  <c:v>0.84150000000000003</c:v>
                </c:pt>
                <c:pt idx="5">
                  <c:v>0.86919999999999997</c:v>
                </c:pt>
                <c:pt idx="6">
                  <c:v>0.87929999999999997</c:v>
                </c:pt>
                <c:pt idx="7">
                  <c:v>0.89739999999999998</c:v>
                </c:pt>
                <c:pt idx="8">
                  <c:v>0.91259999999999997</c:v>
                </c:pt>
                <c:pt idx="9">
                  <c:v>0.91369999999999996</c:v>
                </c:pt>
                <c:pt idx="10">
                  <c:v>0.92469999999999997</c:v>
                </c:pt>
                <c:pt idx="11">
                  <c:v>0.9284</c:v>
                </c:pt>
                <c:pt idx="12">
                  <c:v>0.95920000000000005</c:v>
                </c:pt>
                <c:pt idx="13">
                  <c:v>0.95950000000000002</c:v>
                </c:pt>
                <c:pt idx="14">
                  <c:v>0.98699999999999999</c:v>
                </c:pt>
                <c:pt idx="15">
                  <c:v>1.1529</c:v>
                </c:pt>
                <c:pt idx="16">
                  <c:v>1.1537999999999999</c:v>
                </c:pt>
                <c:pt idx="17">
                  <c:v>1.1625000000000001</c:v>
                </c:pt>
                <c:pt idx="18">
                  <c:v>1.2152000000000001</c:v>
                </c:pt>
                <c:pt idx="19">
                  <c:v>1.657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12896"/>
        <c:axId val="42114432"/>
        <c:axId val="0"/>
      </c:bar3DChart>
      <c:catAx>
        <c:axId val="4211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114432"/>
        <c:crosses val="autoZero"/>
        <c:auto val="1"/>
        <c:lblAlgn val="ctr"/>
        <c:lblOffset val="100"/>
        <c:noMultiLvlLbl val="0"/>
      </c:catAx>
      <c:valAx>
        <c:axId val="4211443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2112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zh-CN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63433396779316E-2"/>
          <c:y val="0.17422848467242624"/>
          <c:w val="0.94217004877891586"/>
          <c:h val="0.50540327044295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农险综合成本率!$C$37</c:f>
              <c:strCache>
                <c:ptCount val="1"/>
                <c:pt idx="0">
                  <c:v>上半年各主体农险综合成本率情况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4"/>
              </a:solidFill>
            </c:spPr>
          </c:dPt>
          <c:dLbls>
            <c:dLbl>
              <c:idx val="5"/>
              <c:layout>
                <c:manualLayout>
                  <c:x val="4.6018719472966083E-2"/>
                  <c:y val="-2.4097200898237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农险综合成本率!$B$38:$B$43</c:f>
              <c:strCache>
                <c:ptCount val="6"/>
                <c:pt idx="0">
                  <c:v>人保</c:v>
                </c:pt>
                <c:pt idx="1">
                  <c:v>太平洋</c:v>
                </c:pt>
                <c:pt idx="2">
                  <c:v>中华联合</c:v>
                </c:pt>
                <c:pt idx="3">
                  <c:v>国寿财</c:v>
                </c:pt>
                <c:pt idx="4">
                  <c:v>安华</c:v>
                </c:pt>
                <c:pt idx="5">
                  <c:v>中航安盟</c:v>
                </c:pt>
              </c:strCache>
            </c:strRef>
          </c:cat>
          <c:val>
            <c:numRef>
              <c:f>农险综合成本率!$C$38:$C$43</c:f>
              <c:numCache>
                <c:formatCode>0.00%</c:formatCode>
                <c:ptCount val="6"/>
                <c:pt idx="0">
                  <c:v>0.39579999999999999</c:v>
                </c:pt>
                <c:pt idx="1">
                  <c:v>0.3377</c:v>
                </c:pt>
                <c:pt idx="2">
                  <c:v>0.86019999999999996</c:v>
                </c:pt>
                <c:pt idx="3">
                  <c:v>0.97829999999999995</c:v>
                </c:pt>
                <c:pt idx="4">
                  <c:v>1.538</c:v>
                </c:pt>
                <c:pt idx="5">
                  <c:v>1.6326000000000001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289408"/>
        <c:axId val="42299392"/>
        <c:axId val="0"/>
      </c:bar3DChart>
      <c:catAx>
        <c:axId val="42289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zh-CN"/>
          </a:p>
        </c:txPr>
        <c:crossAx val="42299392"/>
        <c:crosses val="autoZero"/>
        <c:auto val="1"/>
        <c:lblAlgn val="ctr"/>
        <c:lblOffset val="100"/>
        <c:noMultiLvlLbl val="0"/>
      </c:catAx>
      <c:valAx>
        <c:axId val="4229939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228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 dirty="0">
                <a:latin typeface="+mn-ea"/>
                <a:ea typeface="+mn-ea"/>
              </a:rPr>
              <a:t>2020</a:t>
            </a:r>
            <a:r>
              <a:rPr lang="zh-CN" sz="1800" b="1" baseline="0" dirty="0">
                <a:latin typeface="+mn-ea"/>
                <a:ea typeface="+mn-ea"/>
              </a:rPr>
              <a:t>年</a:t>
            </a:r>
            <a:r>
              <a:rPr lang="zh-CN" altLang="en-US" sz="1800" b="1" baseline="0" dirty="0">
                <a:latin typeface="+mn-ea"/>
                <a:ea typeface="+mn-ea"/>
              </a:rPr>
              <a:t>上半年</a:t>
            </a:r>
            <a:r>
              <a:rPr lang="zh-CN" sz="1800" b="1" baseline="0" dirty="0">
                <a:latin typeface="+mn-ea"/>
                <a:ea typeface="+mn-ea"/>
              </a:rPr>
              <a:t>各机构业务增速</a:t>
            </a:r>
          </a:p>
        </c:rich>
      </c:tx>
      <c:layout>
        <c:manualLayout>
          <c:xMode val="edge"/>
          <c:yMode val="edge"/>
          <c:x val="0.2342194643603511"/>
          <c:y val="7.955185060779097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413260347140015E-2"/>
          <c:y val="0.2322633353720456"/>
          <c:w val="0.95314481031562692"/>
          <c:h val="0.601008766110364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增速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Sheet1!$A$2:$A$21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</c:strCache>
            </c:strRef>
          </c:cat>
          <c:val>
            <c:numRef>
              <c:f>Sheet1!$B$2:$B$21</c:f>
              <c:numCache>
                <c:formatCode>0.00%</c:formatCode>
                <c:ptCount val="20"/>
                <c:pt idx="0">
                  <c:v>0.1555770165239482</c:v>
                </c:pt>
                <c:pt idx="1">
                  <c:v>0.76780849085435232</c:v>
                </c:pt>
                <c:pt idx="2">
                  <c:v>0.11349232585750543</c:v>
                </c:pt>
                <c:pt idx="3">
                  <c:v>0.1218477474703519</c:v>
                </c:pt>
                <c:pt idx="4">
                  <c:v>5.3175446030187021E-2</c:v>
                </c:pt>
                <c:pt idx="5">
                  <c:v>-0.3405852628032689</c:v>
                </c:pt>
                <c:pt idx="6">
                  <c:v>-0.22160824742268045</c:v>
                </c:pt>
                <c:pt idx="7">
                  <c:v>3.4945319972737074</c:v>
                </c:pt>
                <c:pt idx="8">
                  <c:v>6.3797167069113037E-2</c:v>
                </c:pt>
                <c:pt idx="9">
                  <c:v>-0.4453685663744964</c:v>
                </c:pt>
                <c:pt idx="10">
                  <c:v>0.18192021729863381</c:v>
                </c:pt>
                <c:pt idx="11">
                  <c:v>1.1791994014216227E-2</c:v>
                </c:pt>
                <c:pt idx="12">
                  <c:v>0.144832807331402</c:v>
                </c:pt>
                <c:pt idx="13">
                  <c:v>1.4334864835986749</c:v>
                </c:pt>
                <c:pt idx="14">
                  <c:v>8.0498554403779676E-2</c:v>
                </c:pt>
                <c:pt idx="15">
                  <c:v>-0.58041395581797361</c:v>
                </c:pt>
                <c:pt idx="16">
                  <c:v>3.6095826747407647E-2</c:v>
                </c:pt>
                <c:pt idx="17">
                  <c:v>-0.25034315127251922</c:v>
                </c:pt>
                <c:pt idx="18">
                  <c:v>-0.46672753304421799</c:v>
                </c:pt>
                <c:pt idx="19">
                  <c:v>-4.2936628073476972E-2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36640"/>
        <c:axId val="39142528"/>
        <c:axId val="0"/>
      </c:bar3DChart>
      <c:catAx>
        <c:axId val="3913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142528"/>
        <c:crosses val="autoZero"/>
        <c:auto val="1"/>
        <c:lblAlgn val="ctr"/>
        <c:lblOffset val="100"/>
        <c:noMultiLvlLbl val="0"/>
      </c:catAx>
      <c:valAx>
        <c:axId val="3914252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91366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CN" altLang="en-US" sz="1600" dirty="0"/>
              <a:t>上半年农</a:t>
            </a:r>
            <a:r>
              <a:rPr lang="zh-CN" altLang="en-US" sz="1600" dirty="0" smtClean="0"/>
              <a:t>险各险种综合</a:t>
            </a:r>
            <a:r>
              <a:rPr lang="zh-CN" altLang="en-US" sz="1600" dirty="0"/>
              <a:t>成本</a:t>
            </a:r>
            <a:r>
              <a:rPr lang="zh-CN" altLang="en-US" sz="1600" dirty="0" smtClean="0"/>
              <a:t>率情况</a:t>
            </a:r>
            <a:endParaRPr lang="zh-CN" altLang="en-US" sz="1600" dirty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381811133988088E-2"/>
          <c:y val="0.18409681000394507"/>
          <c:w val="0.95123637773202385"/>
          <c:h val="0.491765828417295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农险综合成本率!$B$23</c:f>
              <c:strCache>
                <c:ptCount val="1"/>
                <c:pt idx="0">
                  <c:v>上半年农险综合成本率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</c:dPt>
          <c:dLbls>
            <c:dLbl>
              <c:idx val="1"/>
              <c:layout>
                <c:manualLayout>
                  <c:x val="-9.6363327683685482E-2"/>
                  <c:y val="3.061766928818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农险综合成本率!$A$24:$A$27</c:f>
              <c:strCache>
                <c:ptCount val="4"/>
                <c:pt idx="0">
                  <c:v>农险（合计）</c:v>
                </c:pt>
                <c:pt idx="1">
                  <c:v>种植险</c:v>
                </c:pt>
                <c:pt idx="2">
                  <c:v>养殖险</c:v>
                </c:pt>
                <c:pt idx="3">
                  <c:v>森林险</c:v>
                </c:pt>
              </c:strCache>
            </c:strRef>
          </c:cat>
          <c:val>
            <c:numRef>
              <c:f>农险综合成本率!$B$24:$B$27</c:f>
              <c:numCache>
                <c:formatCode>0.00%</c:formatCode>
                <c:ptCount val="4"/>
                <c:pt idx="0">
                  <c:v>0.62659723858399996</c:v>
                </c:pt>
                <c:pt idx="1">
                  <c:v>0.82181403835300004</c:v>
                </c:pt>
                <c:pt idx="2">
                  <c:v>0.66663982152199996</c:v>
                </c:pt>
                <c:pt idx="3">
                  <c:v>0.13910754125700001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21024"/>
        <c:axId val="42322560"/>
      </c:barChart>
      <c:catAx>
        <c:axId val="42321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zh-CN"/>
          </a:p>
        </c:txPr>
        <c:crossAx val="42322560"/>
        <c:crosses val="autoZero"/>
        <c:auto val="1"/>
        <c:lblAlgn val="ctr"/>
        <c:lblOffset val="100"/>
        <c:noMultiLvlLbl val="0"/>
      </c:catAx>
      <c:valAx>
        <c:axId val="4232256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232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上半年商非各险种综合成本率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商非综合成本率!$B$1</c:f>
              <c:strCache>
                <c:ptCount val="1"/>
                <c:pt idx="0">
                  <c:v>1季度商非各险种综合成本率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3"/>
              <c:layout>
                <c:manualLayout>
                  <c:x val="2.9757779604619863E-2"/>
                  <c:y val="3.3126922063660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553897899634282E-2"/>
                  <c:y val="2.3188662856665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480429528585225E-2"/>
                  <c:y val="-9.9382592069946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3191369558999081E-2"/>
                  <c:y val="-3.31266612238084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商非综合成本率!$A$2:$A$11</c:f>
              <c:strCache>
                <c:ptCount val="10"/>
                <c:pt idx="0">
                  <c:v>企财</c:v>
                </c:pt>
                <c:pt idx="1">
                  <c:v>家财</c:v>
                </c:pt>
                <c:pt idx="2">
                  <c:v>责任</c:v>
                </c:pt>
                <c:pt idx="3">
                  <c:v>货运</c:v>
                </c:pt>
                <c:pt idx="4">
                  <c:v>意健</c:v>
                </c:pt>
                <c:pt idx="5">
                  <c:v>工程</c:v>
                </c:pt>
                <c:pt idx="6">
                  <c:v>信用</c:v>
                </c:pt>
                <c:pt idx="7">
                  <c:v>保证</c:v>
                </c:pt>
                <c:pt idx="8">
                  <c:v>船舶</c:v>
                </c:pt>
                <c:pt idx="9">
                  <c:v>商非合计</c:v>
                </c:pt>
              </c:strCache>
            </c:strRef>
          </c:cat>
          <c:val>
            <c:numRef>
              <c:f>商非综合成本率!$B$2:$B$11</c:f>
              <c:numCache>
                <c:formatCode>0.00%</c:formatCode>
                <c:ptCount val="10"/>
                <c:pt idx="0">
                  <c:v>0.88392596636499998</c:v>
                </c:pt>
                <c:pt idx="1">
                  <c:v>1.0999374688170001</c:v>
                </c:pt>
                <c:pt idx="2">
                  <c:v>0.94747682075600004</c:v>
                </c:pt>
                <c:pt idx="3">
                  <c:v>-0.24447457568700001</c:v>
                </c:pt>
                <c:pt idx="4">
                  <c:v>0.90477725979300005</c:v>
                </c:pt>
                <c:pt idx="5">
                  <c:v>0.36788508872199999</c:v>
                </c:pt>
                <c:pt idx="6">
                  <c:v>-2.3555104885590001</c:v>
                </c:pt>
                <c:pt idx="7">
                  <c:v>1.2211846285620001</c:v>
                </c:pt>
                <c:pt idx="8">
                  <c:v>0.92518896215900004</c:v>
                </c:pt>
                <c:pt idx="9">
                  <c:v>0.7909273558322345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357120"/>
        <c:axId val="42358656"/>
        <c:axId val="0"/>
      </c:bar3DChart>
      <c:catAx>
        <c:axId val="4235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zh-CN"/>
          </a:p>
        </c:txPr>
        <c:crossAx val="42358656"/>
        <c:crosses val="autoZero"/>
        <c:auto val="1"/>
        <c:lblAlgn val="ctr"/>
        <c:lblOffset val="100"/>
        <c:noMultiLvlLbl val="0"/>
      </c:catAx>
      <c:valAx>
        <c:axId val="4235865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235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商非综合成本率!$B$57</c:f>
              <c:strCache>
                <c:ptCount val="1"/>
                <c:pt idx="0">
                  <c:v>上半年各主体商非综合成本率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11"/>
              <c:layout>
                <c:manualLayout>
                  <c:x val="6.6012604769020858E-3"/>
                  <c:y val="6.8406860076928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900"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商非综合成本率!$A$58:$A$77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</c:strCache>
            </c:strRef>
          </c:cat>
          <c:val>
            <c:numRef>
              <c:f>商非综合成本率!$B$58:$B$77</c:f>
              <c:numCache>
                <c:formatCode>0.00%</c:formatCode>
                <c:ptCount val="20"/>
                <c:pt idx="0">
                  <c:v>0.9081487992237649</c:v>
                </c:pt>
                <c:pt idx="1">
                  <c:v>0.86520491736641403</c:v>
                </c:pt>
                <c:pt idx="2">
                  <c:v>0.78391587694630549</c:v>
                </c:pt>
                <c:pt idx="3">
                  <c:v>1.8240296141362036</c:v>
                </c:pt>
                <c:pt idx="4">
                  <c:v>0.86258522708833296</c:v>
                </c:pt>
                <c:pt idx="5">
                  <c:v>0.84354597681603949</c:v>
                </c:pt>
                <c:pt idx="6">
                  <c:v>1.0832383634746516</c:v>
                </c:pt>
                <c:pt idx="7">
                  <c:v>0.68629416905323448</c:v>
                </c:pt>
                <c:pt idx="8">
                  <c:v>1.0524389910667371</c:v>
                </c:pt>
                <c:pt idx="9">
                  <c:v>1.6740009148084618</c:v>
                </c:pt>
                <c:pt idx="10">
                  <c:v>1.0293900197331844</c:v>
                </c:pt>
                <c:pt idx="11">
                  <c:v>-4.4815222696441892E-2</c:v>
                </c:pt>
                <c:pt idx="12">
                  <c:v>0.92263696252393745</c:v>
                </c:pt>
                <c:pt idx="13">
                  <c:v>0.10683159817351651</c:v>
                </c:pt>
                <c:pt idx="14">
                  <c:v>6.0591360443677535</c:v>
                </c:pt>
                <c:pt idx="15">
                  <c:v>0.20339154002299664</c:v>
                </c:pt>
                <c:pt idx="16">
                  <c:v>0.74451814166848074</c:v>
                </c:pt>
                <c:pt idx="17">
                  <c:v>0.54490118471479321</c:v>
                </c:pt>
                <c:pt idx="18">
                  <c:v>0.57610373138835214</c:v>
                </c:pt>
                <c:pt idx="19">
                  <c:v>0.96509677094377078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98080"/>
        <c:axId val="42399616"/>
      </c:barChart>
      <c:catAx>
        <c:axId val="42398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zh-CN"/>
          </a:p>
        </c:txPr>
        <c:crossAx val="42399616"/>
        <c:crosses val="autoZero"/>
        <c:auto val="1"/>
        <c:lblAlgn val="ctr"/>
        <c:lblOffset val="100"/>
        <c:noMultiLvlLbl val="0"/>
      </c:catAx>
      <c:valAx>
        <c:axId val="4239961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239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Calibri"/>
              </a:rPr>
              <a:t>2020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年上半年各主体车险份额情况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910010217461461E-2"/>
          <c:y val="0.15193888673250167"/>
          <c:w val="0.92953033985656952"/>
          <c:h val="0.5884552544637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车险份额同比!$B$62</c:f>
              <c:strCache>
                <c:ptCount val="1"/>
                <c:pt idx="0">
                  <c:v>201906</c:v>
                </c:pt>
              </c:strCache>
            </c:strRef>
          </c:tx>
          <c:invertIfNegative val="0"/>
          <c:cat>
            <c:strRef>
              <c:f>车险份额同比!$A$63:$A$82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</c:strCache>
            </c:strRef>
          </c:cat>
          <c:val>
            <c:numRef>
              <c:f>车险份额同比!$B$63:$B$82</c:f>
              <c:numCache>
                <c:formatCode>0.00%</c:formatCode>
                <c:ptCount val="20"/>
                <c:pt idx="0">
                  <c:v>0.35905264910283896</c:v>
                </c:pt>
                <c:pt idx="1">
                  <c:v>0.11548017298837991</c:v>
                </c:pt>
                <c:pt idx="2">
                  <c:v>0.21659394362168186</c:v>
                </c:pt>
                <c:pt idx="3">
                  <c:v>5.9879542150802025E-2</c:v>
                </c:pt>
                <c:pt idx="4">
                  <c:v>9.7318567881869763E-3</c:v>
                </c:pt>
                <c:pt idx="5">
                  <c:v>2.4859291241705318E-2</c:v>
                </c:pt>
                <c:pt idx="6">
                  <c:v>1.9037950670729262E-2</c:v>
                </c:pt>
                <c:pt idx="7">
                  <c:v>5.9843163524434385E-4</c:v>
                </c:pt>
                <c:pt idx="8">
                  <c:v>2.7647249137971331E-2</c:v>
                </c:pt>
                <c:pt idx="9">
                  <c:v>2.982156060455468E-3</c:v>
                </c:pt>
                <c:pt idx="10">
                  <c:v>5.8826865515231343E-2</c:v>
                </c:pt>
                <c:pt idx="11">
                  <c:v>1.164246993302058E-2</c:v>
                </c:pt>
                <c:pt idx="12">
                  <c:v>2.8960872845507794E-2</c:v>
                </c:pt>
                <c:pt idx="13">
                  <c:v>8.3123387095034376E-3</c:v>
                </c:pt>
                <c:pt idx="14">
                  <c:v>8.108310881640334E-4</c:v>
                </c:pt>
                <c:pt idx="15">
                  <c:v>1.2081849203909742E-2</c:v>
                </c:pt>
                <c:pt idx="16">
                  <c:v>1.110355767167236E-2</c:v>
                </c:pt>
                <c:pt idx="17">
                  <c:v>1.3243011216195115E-2</c:v>
                </c:pt>
                <c:pt idx="18">
                  <c:v>9.0249576445035531E-3</c:v>
                </c:pt>
                <c:pt idx="19">
                  <c:v>1.0130002774296267E-2</c:v>
                </c:pt>
              </c:numCache>
            </c:numRef>
          </c:val>
        </c:ser>
        <c:ser>
          <c:idx val="1"/>
          <c:order val="1"/>
          <c:tx>
            <c:strRef>
              <c:f>车险份额同比!$C$62</c:f>
              <c:strCache>
                <c:ptCount val="1"/>
                <c:pt idx="0">
                  <c:v>202006</c:v>
                </c:pt>
              </c:strCache>
            </c:strRef>
          </c:tx>
          <c:invertIfNegative val="0"/>
          <c:cat>
            <c:strRef>
              <c:f>车险份额同比!$A$63:$A$82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</c:strCache>
            </c:strRef>
          </c:cat>
          <c:val>
            <c:numRef>
              <c:f>车险份额同比!$C$63:$C$82</c:f>
              <c:numCache>
                <c:formatCode>0.00%</c:formatCode>
                <c:ptCount val="20"/>
                <c:pt idx="0">
                  <c:v>0.37197642842871559</c:v>
                </c:pt>
                <c:pt idx="1">
                  <c:v>0.11541812988402382</c:v>
                </c:pt>
                <c:pt idx="2">
                  <c:v>0.22412873292091726</c:v>
                </c:pt>
                <c:pt idx="3">
                  <c:v>5.8581737207726886E-2</c:v>
                </c:pt>
                <c:pt idx="4">
                  <c:v>8.2617108579017256E-3</c:v>
                </c:pt>
                <c:pt idx="5">
                  <c:v>1.7992907792898128E-2</c:v>
                </c:pt>
                <c:pt idx="6">
                  <c:v>1.4066208754740255E-2</c:v>
                </c:pt>
                <c:pt idx="7">
                  <c:v>2.9615893004879112E-3</c:v>
                </c:pt>
                <c:pt idx="8">
                  <c:v>2.8864412814013439E-2</c:v>
                </c:pt>
                <c:pt idx="9">
                  <c:v>1.9855048602701268E-3</c:v>
                </c:pt>
                <c:pt idx="10">
                  <c:v>6.5419130220945212E-2</c:v>
                </c:pt>
                <c:pt idx="11">
                  <c:v>1.3452777566297126E-2</c:v>
                </c:pt>
                <c:pt idx="12">
                  <c:v>3.0502071317020419E-2</c:v>
                </c:pt>
                <c:pt idx="13">
                  <c:v>5.6655799129364673E-3</c:v>
                </c:pt>
                <c:pt idx="14">
                  <c:v>5.0209140917600035E-4</c:v>
                </c:pt>
                <c:pt idx="15">
                  <c:v>4.995526242305556E-3</c:v>
                </c:pt>
                <c:pt idx="16">
                  <c:v>1.1211977391543306E-2</c:v>
                </c:pt>
                <c:pt idx="17">
                  <c:v>9.4339214879412773E-3</c:v>
                </c:pt>
                <c:pt idx="18">
                  <c:v>4.9295474790026269E-3</c:v>
                </c:pt>
                <c:pt idx="19">
                  <c:v>9.6500141511372123E-3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161216"/>
        <c:axId val="39167104"/>
        <c:axId val="0"/>
      </c:bar3DChart>
      <c:catAx>
        <c:axId val="3916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167104"/>
        <c:crosses val="autoZero"/>
        <c:auto val="1"/>
        <c:lblAlgn val="ctr"/>
        <c:lblOffset val="100"/>
        <c:noMultiLvlLbl val="0"/>
      </c:catAx>
      <c:valAx>
        <c:axId val="3916710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91612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2020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年上半年各机构车险业务增速（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Calibri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）</a:t>
            </a:r>
          </a:p>
        </c:rich>
      </c:tx>
      <c:layout>
        <c:manualLayout>
          <c:xMode val="edge"/>
          <c:yMode val="edge"/>
          <c:x val="0.14683933613869288"/>
          <c:y val="6.95190009442684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84548635001816E-2"/>
          <c:y val="0.30650088279267407"/>
          <c:w val="0.92226562229495557"/>
          <c:h val="0.520684766785356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车险增速!$B$1</c:f>
              <c:strCache>
                <c:ptCount val="1"/>
                <c:pt idx="0">
                  <c:v>增速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车险增速!$A$2:$A$21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</c:strCache>
            </c:strRef>
          </c:cat>
          <c:val>
            <c:numRef>
              <c:f>车险增速!$B$2:$B$21</c:f>
              <c:numCache>
                <c:formatCode>0.00%</c:formatCode>
                <c:ptCount val="20"/>
                <c:pt idx="0">
                  <c:v>2.9794327959962067E-2</c:v>
                </c:pt>
                <c:pt idx="1">
                  <c:v>-6.5184231414995896E-3</c:v>
                </c:pt>
                <c:pt idx="2">
                  <c:v>2.859506828990168E-2</c:v>
                </c:pt>
                <c:pt idx="3">
                  <c:v>-2.7528268369453549E-2</c:v>
                </c:pt>
                <c:pt idx="4">
                  <c:v>-0.15614565138847775</c:v>
                </c:pt>
                <c:pt idx="5">
                  <c:v>-0.28048048925805452</c:v>
                </c:pt>
                <c:pt idx="6">
                  <c:v>-0.27</c:v>
                </c:pt>
                <c:pt idx="7" formatCode="0.0%">
                  <c:v>3.91930215938069</c:v>
                </c:pt>
                <c:pt idx="8">
                  <c:v>3.7792785222081335E-2</c:v>
                </c:pt>
                <c:pt idx="9">
                  <c:v>-0.33818927919339692</c:v>
                </c:pt>
                <c:pt idx="10">
                  <c:v>0.10540714612654463</c:v>
                </c:pt>
                <c:pt idx="11">
                  <c:v>0.14857681911361859</c:v>
                </c:pt>
                <c:pt idx="12">
                  <c:v>4.6913730961574703E-2</c:v>
                </c:pt>
                <c:pt idx="13">
                  <c:v>-0.32249212318325038</c:v>
                </c:pt>
                <c:pt idx="14">
                  <c:v>-0.38447512373013809</c:v>
                </c:pt>
                <c:pt idx="15">
                  <c:v>-0.58900073578439294</c:v>
                </c:pt>
                <c:pt idx="16">
                  <c:v>3.7216024518255649E-3</c:v>
                </c:pt>
                <c:pt idx="17">
                  <c:v>-0.29189327123969311</c:v>
                </c:pt>
                <c:pt idx="18">
                  <c:v>-0.45667447306791575</c:v>
                </c:pt>
                <c:pt idx="19">
                  <c:v>-5.3083691255577298E-2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335808"/>
        <c:axId val="39337344"/>
        <c:axId val="0"/>
      </c:bar3DChart>
      <c:catAx>
        <c:axId val="3933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337344"/>
        <c:crosses val="autoZero"/>
        <c:auto val="1"/>
        <c:lblAlgn val="ctr"/>
        <c:lblOffset val="100"/>
        <c:noMultiLvlLbl val="0"/>
      </c:catAx>
      <c:valAx>
        <c:axId val="3933734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93358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rgbClr val="0070C0"/>
                </a:solidFill>
                <a:latin typeface="微软雅黑" pitchFamily="34" charset="-122"/>
                <a:ea typeface="微软雅黑" pitchFamily="34" charset="-122"/>
              </a:defRPr>
            </a:pPr>
            <a:r>
              <a:rPr lang="zh-CN" altLang="en-US" sz="1100" dirty="0">
                <a:solidFill>
                  <a:srgbClr val="0070C0"/>
                </a:solidFill>
                <a:latin typeface="微软雅黑" pitchFamily="34" charset="-122"/>
                <a:ea typeface="微软雅黑" pitchFamily="34" charset="-122"/>
              </a:rPr>
              <a:t>上半年车辆使用</a:t>
            </a:r>
            <a:r>
              <a:rPr lang="zh-CN" altLang="en-US" sz="1100" dirty="0" smtClean="0">
                <a:solidFill>
                  <a:srgbClr val="0070C0"/>
                </a:solidFill>
                <a:latin typeface="微软雅黑" pitchFamily="34" charset="-122"/>
                <a:ea typeface="微软雅黑" pitchFamily="34" charset="-122"/>
              </a:rPr>
              <a:t>性质保费情况（万元）</a:t>
            </a:r>
            <a:endParaRPr lang="zh-CN" altLang="en-US" sz="1100" dirty="0">
              <a:solidFill>
                <a:srgbClr val="0070C0"/>
              </a:solidFill>
              <a:latin typeface="微软雅黑" pitchFamily="34" charset="-122"/>
              <a:ea typeface="微软雅黑" pitchFamily="34" charset="-122"/>
            </a:endParaRPr>
          </a:p>
        </c:rich>
      </c:tx>
      <c:layout>
        <c:manualLayout>
          <c:xMode val="edge"/>
          <c:yMode val="edge"/>
          <c:x val="0.20797050878845658"/>
          <c:y val="1.3852480175682897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616274941724055E-2"/>
          <c:y val="0.25354874364185703"/>
          <c:w val="0.91138372505827592"/>
          <c:h val="0.73947665984344157"/>
        </c:manualLayout>
      </c:layout>
      <c:pie3DChart>
        <c:varyColors val="1"/>
        <c:ser>
          <c:idx val="0"/>
          <c:order val="0"/>
          <c:tx>
            <c:strRef>
              <c:f>使用性质!$C$36</c:f>
              <c:strCache>
                <c:ptCount val="1"/>
                <c:pt idx="0">
                  <c:v>季度车辆使用性质情况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20124416749748883"/>
                  <c:y val="-0.2036929039670449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900" b="1">
                        <a:latin typeface="微软雅黑" pitchFamily="34" charset="-122"/>
                        <a:ea typeface="微软雅黑" pitchFamily="34" charset="-122"/>
                      </a:rPr>
                      <a:t>家自车：</a:t>
                    </a:r>
                    <a:r>
                      <a:rPr lang="en-US" altLang="en-US" sz="900" b="1">
                        <a:latin typeface="微软雅黑" pitchFamily="34" charset="-122"/>
                        <a:ea typeface="微软雅黑" pitchFamily="34" charset="-122"/>
                      </a:rPr>
                      <a:t>32262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483391003266148E-2"/>
                  <c:y val="0.1409564392217887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900" b="1" dirty="0">
                        <a:latin typeface="微软雅黑" pitchFamily="34" charset="-122"/>
                        <a:ea typeface="微软雅黑" pitchFamily="34" charset="-122"/>
                      </a:rPr>
                      <a:t>非营业客</a:t>
                    </a:r>
                    <a:r>
                      <a:rPr lang="en-US" altLang="en-US" sz="900" b="1" dirty="0">
                        <a:latin typeface="微软雅黑" pitchFamily="34" charset="-122"/>
                        <a:ea typeface="微软雅黑" pitchFamily="34" charset="-122"/>
                      </a:rPr>
                      <a:t>3159</a:t>
                    </a:r>
                    <a:endParaRPr lang="en-US" alt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238148562408134E-2"/>
                  <c:y val="9.030980835584512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900" b="1">
                        <a:latin typeface="微软雅黑" pitchFamily="34" charset="-122"/>
                        <a:ea typeface="微软雅黑" pitchFamily="34" charset="-122"/>
                      </a:rPr>
                      <a:t>营业客</a:t>
                    </a:r>
                    <a:r>
                      <a:rPr lang="en-US" altLang="en-US" sz="900" b="1">
                        <a:latin typeface="微软雅黑" pitchFamily="34" charset="-122"/>
                        <a:ea typeface="微软雅黑" pitchFamily="34" charset="-122"/>
                      </a:rPr>
                      <a:t>1543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971395476526134"/>
                  <c:y val="-5.124472351394882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900" b="1">
                        <a:latin typeface="微软雅黑" pitchFamily="34" charset="-122"/>
                        <a:ea typeface="微软雅黑" pitchFamily="34" charset="-122"/>
                      </a:rPr>
                      <a:t>非营业货</a:t>
                    </a:r>
                    <a:r>
                      <a:rPr lang="en-US" altLang="en-US" sz="900" b="1">
                        <a:latin typeface="微软雅黑" pitchFamily="34" charset="-122"/>
                        <a:ea typeface="微软雅黑" pitchFamily="34" charset="-122"/>
                      </a:rPr>
                      <a:t>4364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4107053890556555E-2"/>
                  <c:y val="4.54913994640799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900" b="1">
                        <a:latin typeface="微软雅黑" pitchFamily="34" charset="-122"/>
                        <a:ea typeface="微软雅黑" pitchFamily="34" charset="-122"/>
                      </a:rPr>
                      <a:t>营业货</a:t>
                    </a:r>
                    <a:r>
                      <a:rPr lang="en-US" altLang="en-US" sz="900" b="1">
                        <a:latin typeface="微软雅黑" pitchFamily="34" charset="-122"/>
                        <a:ea typeface="微软雅黑" pitchFamily="34" charset="-122"/>
                      </a:rPr>
                      <a:t>6241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32498510502383665"/>
                  <c:y val="3.57732119938481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900" b="1">
                        <a:latin typeface="微软雅黑" pitchFamily="34" charset="-122"/>
                        <a:ea typeface="微软雅黑" pitchFamily="34" charset="-122"/>
                      </a:rPr>
                      <a:t>特种车</a:t>
                    </a:r>
                    <a:r>
                      <a:rPr lang="en-US" altLang="en-US" sz="900" b="1">
                        <a:latin typeface="微软雅黑" pitchFamily="34" charset="-122"/>
                        <a:ea typeface="微软雅黑" pitchFamily="34" charset="-122"/>
                      </a:rPr>
                      <a:t>165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>
                    <a:latin typeface="微软雅黑" pitchFamily="34" charset="-122"/>
                    <a:ea typeface="微软雅黑" pitchFamily="34" charset="-122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使用性质!$B$37:$B$42</c:f>
              <c:strCache>
                <c:ptCount val="6"/>
                <c:pt idx="0">
                  <c:v>家庭自用车</c:v>
                </c:pt>
                <c:pt idx="1">
                  <c:v>非营业客车</c:v>
                </c:pt>
                <c:pt idx="2">
                  <c:v>营业客车</c:v>
                </c:pt>
                <c:pt idx="3">
                  <c:v>非营业货车</c:v>
                </c:pt>
                <c:pt idx="4">
                  <c:v>营业货车</c:v>
                </c:pt>
                <c:pt idx="5">
                  <c:v>特种车</c:v>
                </c:pt>
              </c:strCache>
            </c:strRef>
          </c:cat>
          <c:val>
            <c:numRef>
              <c:f>使用性质!$C$37:$C$42</c:f>
              <c:numCache>
                <c:formatCode>0</c:formatCode>
                <c:ptCount val="6"/>
                <c:pt idx="0">
                  <c:v>32262.104142000004</c:v>
                </c:pt>
                <c:pt idx="1">
                  <c:v>3158.7228989999994</c:v>
                </c:pt>
                <c:pt idx="2">
                  <c:v>1543.1168700000003</c:v>
                </c:pt>
                <c:pt idx="3">
                  <c:v>4363.6578400000008</c:v>
                </c:pt>
                <c:pt idx="4">
                  <c:v>6241.0208215000011</c:v>
                </c:pt>
                <c:pt idx="5">
                  <c:v>165.2807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solidFill>
                  <a:srgbClr val="0070C0"/>
                </a:solidFill>
                <a:latin typeface="微软雅黑" pitchFamily="34" charset="-122"/>
                <a:ea typeface="微软雅黑" pitchFamily="34" charset="-122"/>
              </a:defRPr>
            </a:pPr>
            <a:r>
              <a:rPr lang="zh-CN" altLang="en-US" sz="1100">
                <a:solidFill>
                  <a:srgbClr val="0070C0"/>
                </a:solidFill>
                <a:latin typeface="微软雅黑" pitchFamily="34" charset="-122"/>
                <a:ea typeface="微软雅黑" pitchFamily="34" charset="-122"/>
              </a:rPr>
              <a:t>上半年车辆使用性质增速情况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使用性质!$C$58</c:f>
              <c:strCache>
                <c:ptCount val="1"/>
                <c:pt idx="0">
                  <c:v>1季度车辆使用性质增速情况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-9.2354440899823823E-2"/>
                  <c:y val="4.761624458510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376135709431528E-2"/>
                  <c:y val="0.1666559187275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962034083186526E-2"/>
                  <c:y val="-4.7612120375917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983728892794224E-2"/>
                  <c:y val="-0.19998627763126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625961451065783E-17"/>
                  <c:y val="-2.3807934828496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000" b="1"/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使用性质!$B$59:$B$64</c:f>
              <c:strCache>
                <c:ptCount val="6"/>
                <c:pt idx="0">
                  <c:v>家庭自用车</c:v>
                </c:pt>
                <c:pt idx="1">
                  <c:v>非营业客车</c:v>
                </c:pt>
                <c:pt idx="2">
                  <c:v>营业客车</c:v>
                </c:pt>
                <c:pt idx="3">
                  <c:v>非营业货车</c:v>
                </c:pt>
                <c:pt idx="4">
                  <c:v>营业货车</c:v>
                </c:pt>
                <c:pt idx="5">
                  <c:v>特种车</c:v>
                </c:pt>
              </c:strCache>
            </c:strRef>
          </c:cat>
          <c:val>
            <c:numRef>
              <c:f>使用性质!$C$59:$C$64</c:f>
              <c:numCache>
                <c:formatCode>0.00%</c:formatCode>
                <c:ptCount val="6"/>
                <c:pt idx="0">
                  <c:v>-1.7675387492041492E-2</c:v>
                </c:pt>
                <c:pt idx="1">
                  <c:v>-7.0140654226241828E-2</c:v>
                </c:pt>
                <c:pt idx="2">
                  <c:v>-0.18922008669381327</c:v>
                </c:pt>
                <c:pt idx="3">
                  <c:v>-5.9167189871671043E-2</c:v>
                </c:pt>
                <c:pt idx="4">
                  <c:v>0.12650755331534372</c:v>
                </c:pt>
                <c:pt idx="5">
                  <c:v>-0.22947856693317162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701760"/>
        <c:axId val="41703296"/>
        <c:axId val="0"/>
      </c:bar3DChart>
      <c:catAx>
        <c:axId val="4170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微软雅黑" pitchFamily="34" charset="-122"/>
                <a:ea typeface="微软雅黑" pitchFamily="34" charset="-122"/>
              </a:defRPr>
            </a:pPr>
            <a:endParaRPr lang="zh-CN"/>
          </a:p>
        </c:txPr>
        <c:crossAx val="41703296"/>
        <c:crosses val="autoZero"/>
        <c:auto val="1"/>
        <c:lblAlgn val="ctr"/>
        <c:lblOffset val="100"/>
        <c:noMultiLvlLbl val="0"/>
      </c:catAx>
      <c:valAx>
        <c:axId val="4170329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1701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上半年农险保费情况（万元）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840397482257041E-2"/>
          <c:y val="0.24961115099306055"/>
          <c:w val="0.97929219879981533"/>
          <c:h val="0.75038889746624804"/>
        </c:manualLayout>
      </c:layout>
      <c:pie3DChart>
        <c:varyColors val="1"/>
        <c:ser>
          <c:idx val="0"/>
          <c:order val="0"/>
          <c:tx>
            <c:strRef>
              <c:f>农险!$B$1</c:f>
              <c:strCache>
                <c:ptCount val="1"/>
                <c:pt idx="0">
                  <c:v>农险保费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7.8866917437645637E-2"/>
                  <c:y val="-0.3075008811648079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600" b="1" dirty="0">
                        <a:solidFill>
                          <a:srgbClr val="C00000"/>
                        </a:solidFill>
                      </a:rPr>
                      <a:t>种植险：</a:t>
                    </a:r>
                    <a:r>
                      <a:rPr lang="en-US" altLang="en-US" sz="1600" b="1" dirty="0">
                        <a:solidFill>
                          <a:srgbClr val="C00000"/>
                        </a:solidFill>
                      </a:rPr>
                      <a:t>13502</a:t>
                    </a:r>
                    <a:endParaRPr lang="en-US" altLang="en-US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430671662770053"/>
                  <c:y val="0.1411778279150856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600" b="1">
                        <a:solidFill>
                          <a:srgbClr val="C00000"/>
                        </a:solidFill>
                      </a:rPr>
                      <a:t>养殖险：</a:t>
                    </a:r>
                    <a:r>
                      <a:rPr lang="en-US" altLang="en-US" sz="1600" b="1">
                        <a:solidFill>
                          <a:srgbClr val="C00000"/>
                        </a:solidFill>
                      </a:rPr>
                      <a:t>1775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2084009380761022"/>
                  <c:y val="8.051717270749716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600" b="1">
                        <a:solidFill>
                          <a:srgbClr val="C00000"/>
                        </a:solidFill>
                      </a:rPr>
                      <a:t>森林险：</a:t>
                    </a:r>
                    <a:r>
                      <a:rPr lang="en-US" altLang="en-US" sz="1600" b="1">
                        <a:solidFill>
                          <a:srgbClr val="C00000"/>
                        </a:solidFill>
                      </a:rPr>
                      <a:t>929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农险!$A$2:$A$4</c:f>
              <c:strCache>
                <c:ptCount val="3"/>
                <c:pt idx="0">
                  <c:v> 种植险</c:v>
                </c:pt>
                <c:pt idx="1">
                  <c:v>养殖险</c:v>
                </c:pt>
                <c:pt idx="2">
                  <c:v>森林险</c:v>
                </c:pt>
              </c:strCache>
            </c:strRef>
          </c:cat>
          <c:val>
            <c:numRef>
              <c:f>农险!$B$2:$B$4</c:f>
              <c:numCache>
                <c:formatCode>0</c:formatCode>
                <c:ptCount val="3"/>
                <c:pt idx="0">
                  <c:v>13502.095799999999</c:v>
                </c:pt>
                <c:pt idx="1">
                  <c:v>1775.3172</c:v>
                </c:pt>
                <c:pt idx="2">
                  <c:v>928.6259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上半年各主体农险保费情况（万元）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086040296144426E-2"/>
          <c:y val="0.19608843028212405"/>
          <c:w val="0.82497466198869684"/>
          <c:h val="0.70548789039662518"/>
        </c:manualLayout>
      </c:layout>
      <c:pie3DChart>
        <c:varyColors val="1"/>
        <c:ser>
          <c:idx val="0"/>
          <c:order val="0"/>
          <c:tx>
            <c:strRef>
              <c:f>农险!$B$7</c:f>
              <c:strCache>
                <c:ptCount val="1"/>
                <c:pt idx="0">
                  <c:v>上半年各主体农险保费情况</c:v>
                </c:pt>
              </c:strCache>
            </c:strRef>
          </c:tx>
          <c:explosion val="20"/>
          <c:dPt>
            <c:idx val="4"/>
            <c:bubble3D val="0"/>
            <c:explosion val="24"/>
          </c:dPt>
          <c:dLbls>
            <c:dLbl>
              <c:idx val="0"/>
              <c:layout>
                <c:manualLayout>
                  <c:x val="6.3542285234123225E-2"/>
                  <c:y val="-9.008460727505952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人保：</a:t>
                    </a:r>
                    <a:r>
                      <a:rPr lang="en-US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6286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776728141667835"/>
                  <c:y val="-6.824240953451028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太平洋：</a:t>
                    </a:r>
                    <a:r>
                      <a:rPr lang="en-US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307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114737658937419E-2"/>
                  <c:y val="-0.22564660979956791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中华：</a:t>
                    </a:r>
                    <a:r>
                      <a:rPr lang="en-US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4609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405926996166478E-2"/>
                  <c:y val="3.311329243482687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国寿财：</a:t>
                    </a:r>
                    <a:r>
                      <a:rPr lang="en-US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154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116640577072643E-2"/>
                  <c:y val="-7.874322976335491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安华农业：</a:t>
                    </a:r>
                    <a:r>
                      <a:rPr lang="en-US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1984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014017556357318E-2"/>
                  <c:y val="-4.8671257307875198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中航安盟：</a:t>
                    </a:r>
                    <a:r>
                      <a:rPr lang="en-US" altLang="en-US" sz="1200" b="0">
                        <a:solidFill>
                          <a:sysClr val="windowText" lastClr="000000"/>
                        </a:solidFill>
                        <a:latin typeface="微软雅黑" pitchFamily="34" charset="-122"/>
                        <a:ea typeface="微软雅黑" pitchFamily="34" charset="-122"/>
                      </a:rPr>
                      <a:t>2867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sz="1200" b="0">
                    <a:solidFill>
                      <a:sysClr val="windowText" lastClr="000000"/>
                    </a:solidFill>
                    <a:latin typeface="微软雅黑" pitchFamily="34" charset="-122"/>
                    <a:ea typeface="微软雅黑" pitchFamily="34" charset="-122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农险!$A$8:$A$13</c:f>
              <c:strCache>
                <c:ptCount val="6"/>
                <c:pt idx="0">
                  <c:v>人保</c:v>
                </c:pt>
                <c:pt idx="1">
                  <c:v>太平洋</c:v>
                </c:pt>
                <c:pt idx="2">
                  <c:v>中华联合</c:v>
                </c:pt>
                <c:pt idx="3">
                  <c:v>国寿财</c:v>
                </c:pt>
                <c:pt idx="4">
                  <c:v>安华农业</c:v>
                </c:pt>
                <c:pt idx="5">
                  <c:v>中航安盟</c:v>
                </c:pt>
              </c:strCache>
            </c:strRef>
          </c:cat>
          <c:val>
            <c:numRef>
              <c:f>农险!$B$8:$B$13</c:f>
              <c:numCache>
                <c:formatCode>#0</c:formatCode>
                <c:ptCount val="6"/>
                <c:pt idx="0">
                  <c:v>6286.2078000000001</c:v>
                </c:pt>
                <c:pt idx="1">
                  <c:v>306.77</c:v>
                </c:pt>
                <c:pt idx="2">
                  <c:v>4609.2007000000003</c:v>
                </c:pt>
                <c:pt idx="3">
                  <c:v>153.613</c:v>
                </c:pt>
                <c:pt idx="4">
                  <c:v>1983.7007000000001</c:v>
                </c:pt>
                <c:pt idx="5">
                  <c:v>2866.5466999999999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2020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zh-CN" altLang="en-US" sz="1800" b="1" baseline="0">
                <a:latin typeface="+mn-ea"/>
                <a:ea typeface="+mn-ea"/>
              </a:rPr>
              <a:t>上半年</a:t>
            </a:r>
            <a:r>
              <a:rPr lang="zh-CN" sz="1800" b="1" baseline="0">
                <a:latin typeface="+mn-ea"/>
                <a:ea typeface="+mn-ea"/>
              </a:rPr>
              <a:t>各机构</a:t>
            </a:r>
            <a:r>
              <a:rPr lang="zh-CN" altLang="en-US" sz="1800" b="1" baseline="0">
                <a:latin typeface="+mn-ea"/>
                <a:ea typeface="+mn-ea"/>
              </a:rPr>
              <a:t>商非</a:t>
            </a:r>
            <a:r>
              <a:rPr lang="zh-CN" sz="1800" b="1" baseline="0">
                <a:latin typeface="+mn-ea"/>
                <a:ea typeface="+mn-ea"/>
              </a:rPr>
              <a:t>业务增速</a:t>
            </a:r>
          </a:p>
        </c:rich>
      </c:tx>
      <c:layout>
        <c:manualLayout>
          <c:xMode val="edge"/>
          <c:yMode val="edge"/>
          <c:x val="0.18659358092728148"/>
          <c:y val="1.843783079962012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9870930073846E-2"/>
          <c:y val="0.24833730298369838"/>
          <c:w val="0.94798837875108066"/>
          <c:h val="0.568151166473629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商非主体增速!$B$1</c:f>
              <c:strCache>
                <c:ptCount val="1"/>
                <c:pt idx="0">
                  <c:v>增速</c:v>
                </c:pt>
              </c:strCache>
            </c:strRef>
          </c:tx>
          <c:invertIfNegative val="0"/>
          <c:cat>
            <c:strRef>
              <c:f>商非主体增速!$A$2:$A$21</c:f>
              <c:strCache>
                <c:ptCount val="20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</c:strCache>
            </c:strRef>
          </c:cat>
          <c:val>
            <c:numRef>
              <c:f>商非主体增速!$B$2:$B$21</c:f>
              <c:numCache>
                <c:formatCode>0.00%</c:formatCode>
                <c:ptCount val="20"/>
                <c:pt idx="0">
                  <c:v>0.45109480914233591</c:v>
                </c:pt>
                <c:pt idx="1">
                  <c:v>11.016447522343379</c:v>
                </c:pt>
                <c:pt idx="2">
                  <c:v>1.0056748455187963</c:v>
                </c:pt>
                <c:pt idx="3">
                  <c:v>-0.10033011338718933</c:v>
                </c:pt>
                <c:pt idx="4">
                  <c:v>0.91666940474631309</c:v>
                </c:pt>
                <c:pt idx="5">
                  <c:v>1.0858382438367729</c:v>
                </c:pt>
                <c:pt idx="6">
                  <c:v>-0.50806310144198163</c:v>
                </c:pt>
                <c:pt idx="7">
                  <c:v>-0.63204238591693751</c:v>
                </c:pt>
                <c:pt idx="8">
                  <c:v>0.34101449275362272</c:v>
                </c:pt>
                <c:pt idx="9">
                  <c:v>2.2195797897656759</c:v>
                </c:pt>
                <c:pt idx="10">
                  <c:v>0.25046904114774304</c:v>
                </c:pt>
                <c:pt idx="11">
                  <c:v>-0.64688899897196639</c:v>
                </c:pt>
                <c:pt idx="12">
                  <c:v>0.28576346699134381</c:v>
                </c:pt>
                <c:pt idx="13">
                  <c:v>0.48376623376623007</c:v>
                </c:pt>
                <c:pt idx="14">
                  <c:v>-0.53527580557072652</c:v>
                </c:pt>
                <c:pt idx="15">
                  <c:v>-0.41721459227468294</c:v>
                </c:pt>
                <c:pt idx="16">
                  <c:v>0.20078825875711281</c:v>
                </c:pt>
                <c:pt idx="17">
                  <c:v>-0.43511513607932195</c:v>
                </c:pt>
                <c:pt idx="18">
                  <c:v>5.9701717938473315</c:v>
                </c:pt>
                <c:pt idx="19">
                  <c:v>0.1097845006216327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02368"/>
        <c:axId val="41804160"/>
        <c:axId val="0"/>
      </c:bar3DChart>
      <c:catAx>
        <c:axId val="4180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804160"/>
        <c:crosses val="autoZero"/>
        <c:auto val="1"/>
        <c:lblAlgn val="ctr"/>
        <c:lblOffset val="100"/>
        <c:noMultiLvlLbl val="0"/>
      </c:catAx>
      <c:valAx>
        <c:axId val="4180416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18023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D956-23E6-4590-A57D-44C38254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李晶晶</dc:creator>
  <cp:lastModifiedBy>李晶晶</cp:lastModifiedBy>
  <cp:revision>5</cp:revision>
  <dcterms:created xsi:type="dcterms:W3CDTF">2020-08-05T01:13:00Z</dcterms:created>
  <dcterms:modified xsi:type="dcterms:W3CDTF">2020-08-19T00:56:00Z</dcterms:modified>
</cp:coreProperties>
</file>