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D6512" w:rsidRPr="00540591" w:rsidRDefault="00FB3C2F" w:rsidP="00FB3C2F">
      <w:pPr>
        <w:jc w:val="center"/>
        <w:rPr>
          <w:rFonts w:ascii="仿宋" w:eastAsia="仿宋" w:hAnsi="仿宋"/>
          <w:b/>
          <w:sz w:val="36"/>
          <w:szCs w:val="36"/>
        </w:rPr>
      </w:pPr>
      <w:r w:rsidRPr="00540591">
        <w:rPr>
          <w:rFonts w:ascii="仿宋" w:eastAsia="仿宋" w:hAnsi="仿宋" w:hint="eastAsia"/>
          <w:b/>
          <w:sz w:val="36"/>
          <w:szCs w:val="36"/>
        </w:rPr>
        <w:t>丹东市</w:t>
      </w:r>
      <w:r w:rsidR="00DD6512" w:rsidRPr="00540591">
        <w:rPr>
          <w:rFonts w:ascii="仿宋" w:eastAsia="仿宋" w:hAnsi="仿宋" w:hint="eastAsia"/>
          <w:b/>
          <w:sz w:val="36"/>
          <w:szCs w:val="36"/>
        </w:rPr>
        <w:t>保险行业协会</w:t>
      </w:r>
      <w:r w:rsidRPr="00540591">
        <w:rPr>
          <w:rFonts w:ascii="仿宋" w:eastAsia="仿宋" w:hAnsi="仿宋" w:hint="eastAsia"/>
          <w:b/>
          <w:sz w:val="36"/>
          <w:szCs w:val="36"/>
        </w:rPr>
        <w:t>2020年</w:t>
      </w:r>
      <w:r w:rsidR="00AC6DEA">
        <w:rPr>
          <w:rFonts w:ascii="仿宋" w:eastAsia="仿宋" w:hAnsi="仿宋" w:hint="eastAsia"/>
          <w:b/>
          <w:sz w:val="36"/>
          <w:szCs w:val="36"/>
        </w:rPr>
        <w:t>三季度</w:t>
      </w:r>
      <w:bookmarkStart w:id="0" w:name="_GoBack"/>
      <w:bookmarkEnd w:id="0"/>
    </w:p>
    <w:p w:rsidR="00EB2C77" w:rsidRPr="00540591" w:rsidRDefault="00FB3C2F" w:rsidP="00FB3C2F">
      <w:pPr>
        <w:jc w:val="center"/>
        <w:rPr>
          <w:rFonts w:ascii="仿宋" w:eastAsia="仿宋" w:hAnsi="仿宋"/>
          <w:b/>
          <w:sz w:val="36"/>
          <w:szCs w:val="36"/>
        </w:rPr>
      </w:pPr>
      <w:r w:rsidRPr="00540591">
        <w:rPr>
          <w:rFonts w:ascii="仿宋" w:eastAsia="仿宋" w:hAnsi="仿宋" w:hint="eastAsia"/>
          <w:b/>
          <w:sz w:val="36"/>
          <w:szCs w:val="36"/>
        </w:rPr>
        <w:t>财险市场运行情况通报</w:t>
      </w:r>
    </w:p>
    <w:p w:rsidR="00FB3C2F" w:rsidRPr="00905CAC" w:rsidRDefault="00FB3C2F" w:rsidP="00832742">
      <w:pPr>
        <w:ind w:firstLineChars="200" w:firstLine="643"/>
        <w:rPr>
          <w:rFonts w:ascii="仿宋" w:eastAsia="仿宋" w:hAnsi="仿宋"/>
          <w:b/>
          <w:sz w:val="32"/>
          <w:szCs w:val="32"/>
        </w:rPr>
      </w:pPr>
      <w:r w:rsidRPr="00905CAC">
        <w:rPr>
          <w:rFonts w:ascii="仿宋" w:eastAsia="仿宋" w:hAnsi="仿宋" w:hint="eastAsia"/>
          <w:b/>
          <w:sz w:val="32"/>
          <w:szCs w:val="32"/>
        </w:rPr>
        <w:t>一、市场整体运行情况</w:t>
      </w:r>
    </w:p>
    <w:p w:rsidR="00FB3C2F" w:rsidRDefault="00045FB2" w:rsidP="00FB3C2F">
      <w:pPr>
        <w:ind w:firstLineChars="200" w:firstLine="640"/>
        <w:rPr>
          <w:rFonts w:ascii="仿宋" w:eastAsia="仿宋" w:hAnsi="仿宋"/>
          <w:sz w:val="32"/>
          <w:szCs w:val="32"/>
        </w:rPr>
      </w:pPr>
      <w:r>
        <w:rPr>
          <w:rFonts w:ascii="仿宋" w:eastAsia="仿宋" w:hAnsi="仿宋" w:hint="eastAsia"/>
          <w:sz w:val="32"/>
          <w:szCs w:val="32"/>
        </w:rPr>
        <w:t>截止9月末</w:t>
      </w:r>
      <w:r w:rsidR="00FB3C2F" w:rsidRPr="00FB3C2F">
        <w:rPr>
          <w:rFonts w:ascii="仿宋" w:eastAsia="仿宋" w:hAnsi="仿宋" w:hint="eastAsia"/>
          <w:sz w:val="32"/>
          <w:szCs w:val="32"/>
        </w:rPr>
        <w:t>，全市20家财</w:t>
      </w:r>
      <w:proofErr w:type="gramStart"/>
      <w:r w:rsidR="00FB3C2F" w:rsidRPr="00FB3C2F">
        <w:rPr>
          <w:rFonts w:ascii="仿宋" w:eastAsia="仿宋" w:hAnsi="仿宋" w:hint="eastAsia"/>
          <w:sz w:val="32"/>
          <w:szCs w:val="32"/>
        </w:rPr>
        <w:t>险机构</w:t>
      </w:r>
      <w:proofErr w:type="gramEnd"/>
      <w:r w:rsidR="00FB3C2F" w:rsidRPr="00FB3C2F">
        <w:rPr>
          <w:rFonts w:ascii="仿宋" w:eastAsia="仿宋" w:hAnsi="仿宋" w:hint="eastAsia"/>
          <w:sz w:val="32"/>
          <w:szCs w:val="32"/>
        </w:rPr>
        <w:t>累计实现保费收入</w:t>
      </w:r>
      <w:r w:rsidR="007B1741">
        <w:rPr>
          <w:rFonts w:ascii="仿宋" w:eastAsia="仿宋" w:hAnsi="仿宋" w:hint="eastAsia"/>
          <w:sz w:val="32"/>
          <w:szCs w:val="32"/>
        </w:rPr>
        <w:t>113626</w:t>
      </w:r>
      <w:r w:rsidR="00FB3C2F" w:rsidRPr="00FB3C2F">
        <w:rPr>
          <w:rFonts w:ascii="仿宋" w:eastAsia="仿宋" w:hAnsi="仿宋" w:hint="eastAsia"/>
          <w:sz w:val="32"/>
          <w:szCs w:val="32"/>
        </w:rPr>
        <w:t>万元，同比增加</w:t>
      </w:r>
      <w:r w:rsidR="007B1741">
        <w:rPr>
          <w:rFonts w:ascii="仿宋" w:eastAsia="仿宋" w:hAnsi="仿宋" w:hint="eastAsia"/>
          <w:sz w:val="32"/>
          <w:szCs w:val="32"/>
        </w:rPr>
        <w:t>11855</w:t>
      </w:r>
      <w:r w:rsidR="00FB3C2F" w:rsidRPr="00FB3C2F">
        <w:rPr>
          <w:rFonts w:ascii="仿宋" w:eastAsia="仿宋" w:hAnsi="仿宋" w:hint="eastAsia"/>
          <w:sz w:val="32"/>
          <w:szCs w:val="32"/>
        </w:rPr>
        <w:t>万元，增速</w:t>
      </w:r>
      <w:r w:rsidR="007B1741">
        <w:rPr>
          <w:rFonts w:ascii="仿宋" w:eastAsia="仿宋" w:hAnsi="仿宋" w:hint="eastAsia"/>
          <w:sz w:val="32"/>
          <w:szCs w:val="32"/>
        </w:rPr>
        <w:t>11.65</w:t>
      </w:r>
      <w:r w:rsidR="00FB3C2F" w:rsidRPr="00FB3C2F">
        <w:rPr>
          <w:rFonts w:ascii="仿宋" w:eastAsia="仿宋" w:hAnsi="仿宋" w:hint="eastAsia"/>
          <w:sz w:val="32"/>
          <w:szCs w:val="32"/>
        </w:rPr>
        <w:t>%，</w:t>
      </w:r>
      <w:r w:rsidR="00301D84">
        <w:rPr>
          <w:rFonts w:ascii="仿宋" w:eastAsia="仿宋" w:hAnsi="仿宋" w:hint="eastAsia"/>
          <w:sz w:val="32"/>
          <w:szCs w:val="32"/>
        </w:rPr>
        <w:t>同比提升2.5个百分点，</w:t>
      </w:r>
      <w:r w:rsidR="00FB3C2F" w:rsidRPr="00FB3C2F">
        <w:rPr>
          <w:rFonts w:ascii="仿宋" w:eastAsia="仿宋" w:hAnsi="仿宋" w:hint="eastAsia"/>
          <w:sz w:val="32"/>
          <w:szCs w:val="32"/>
        </w:rPr>
        <w:t>保费总量占全省</w:t>
      </w:r>
      <w:r w:rsidR="007B1741">
        <w:rPr>
          <w:rFonts w:ascii="仿宋" w:eastAsia="仿宋" w:hAnsi="仿宋" w:hint="eastAsia"/>
          <w:sz w:val="32"/>
          <w:szCs w:val="32"/>
        </w:rPr>
        <w:t>4.43</w:t>
      </w:r>
      <w:r w:rsidR="00FB3C2F" w:rsidRPr="00FB3C2F">
        <w:rPr>
          <w:rFonts w:ascii="仿宋" w:eastAsia="仿宋" w:hAnsi="仿宋" w:hint="eastAsia"/>
          <w:sz w:val="32"/>
          <w:szCs w:val="32"/>
        </w:rPr>
        <w:t>%</w:t>
      </w:r>
      <w:r w:rsidR="00301D84">
        <w:rPr>
          <w:rFonts w:ascii="仿宋" w:eastAsia="仿宋" w:hAnsi="仿宋" w:hint="eastAsia"/>
          <w:sz w:val="32"/>
          <w:szCs w:val="32"/>
        </w:rPr>
        <w:t>。</w:t>
      </w:r>
      <w:r w:rsidR="00FB3C2F" w:rsidRPr="00760F25">
        <w:rPr>
          <w:rFonts w:ascii="仿宋" w:eastAsia="仿宋" w:hAnsi="仿宋" w:hint="eastAsia"/>
          <w:sz w:val="32"/>
          <w:szCs w:val="32"/>
        </w:rPr>
        <w:t>全地区已决案件</w:t>
      </w:r>
      <w:r w:rsidR="00760F25" w:rsidRPr="00760F25">
        <w:rPr>
          <w:rFonts w:ascii="仿宋" w:eastAsia="仿宋" w:hAnsi="仿宋" w:hint="eastAsia"/>
          <w:sz w:val="32"/>
          <w:szCs w:val="32"/>
        </w:rPr>
        <w:t>88469</w:t>
      </w:r>
      <w:r w:rsidR="00FB3C2F" w:rsidRPr="00760F25">
        <w:rPr>
          <w:rFonts w:ascii="仿宋" w:eastAsia="仿宋" w:hAnsi="仿宋" w:hint="eastAsia"/>
          <w:sz w:val="32"/>
          <w:szCs w:val="32"/>
        </w:rPr>
        <w:t>件，累计赔款支出</w:t>
      </w:r>
      <w:r w:rsidR="00760F25" w:rsidRPr="00760F25">
        <w:rPr>
          <w:rFonts w:ascii="仿宋" w:eastAsia="仿宋" w:hAnsi="仿宋" w:hint="eastAsia"/>
          <w:sz w:val="32"/>
          <w:szCs w:val="32"/>
        </w:rPr>
        <w:t>47667</w:t>
      </w:r>
      <w:r w:rsidR="00FB3C2F" w:rsidRPr="00760F25">
        <w:rPr>
          <w:rFonts w:ascii="仿宋" w:eastAsia="仿宋" w:hAnsi="仿宋" w:hint="eastAsia"/>
          <w:sz w:val="32"/>
          <w:szCs w:val="32"/>
        </w:rPr>
        <w:t>万元</w:t>
      </w:r>
      <w:r w:rsidR="00832742">
        <w:rPr>
          <w:rFonts w:ascii="仿宋" w:eastAsia="仿宋" w:hAnsi="仿宋" w:hint="eastAsia"/>
          <w:sz w:val="32"/>
          <w:szCs w:val="32"/>
        </w:rPr>
        <w:t>，同比下降1.</w:t>
      </w:r>
      <w:r w:rsidR="00301D84">
        <w:rPr>
          <w:rFonts w:ascii="仿宋" w:eastAsia="仿宋" w:hAnsi="仿宋" w:hint="eastAsia"/>
          <w:sz w:val="32"/>
          <w:szCs w:val="32"/>
        </w:rPr>
        <w:t>0</w:t>
      </w:r>
      <w:r w:rsidR="00832742">
        <w:rPr>
          <w:rFonts w:ascii="仿宋" w:eastAsia="仿宋" w:hAnsi="仿宋" w:hint="eastAsia"/>
          <w:sz w:val="32"/>
          <w:szCs w:val="32"/>
        </w:rPr>
        <w:t>4</w:t>
      </w:r>
      <w:r w:rsidR="00301D84">
        <w:rPr>
          <w:rFonts w:ascii="仿宋" w:eastAsia="仿宋" w:hAnsi="仿宋" w:hint="eastAsia"/>
          <w:sz w:val="32"/>
          <w:szCs w:val="32"/>
        </w:rPr>
        <w:t>%</w:t>
      </w:r>
      <w:r w:rsidR="00832742">
        <w:rPr>
          <w:rFonts w:ascii="仿宋" w:eastAsia="仿宋" w:hAnsi="仿宋" w:hint="eastAsia"/>
          <w:sz w:val="32"/>
          <w:szCs w:val="32"/>
        </w:rPr>
        <w:t>，综合成本率94.93%，</w:t>
      </w:r>
      <w:proofErr w:type="gramStart"/>
      <w:r w:rsidR="00832742">
        <w:rPr>
          <w:rFonts w:ascii="仿宋" w:eastAsia="仿宋" w:hAnsi="仿宋" w:hint="eastAsia"/>
          <w:sz w:val="32"/>
          <w:szCs w:val="32"/>
        </w:rPr>
        <w:t>优于省</w:t>
      </w:r>
      <w:proofErr w:type="gramEnd"/>
      <w:r w:rsidR="00832742">
        <w:rPr>
          <w:rFonts w:ascii="仿宋" w:eastAsia="仿宋" w:hAnsi="仿宋" w:hint="eastAsia"/>
          <w:sz w:val="32"/>
          <w:szCs w:val="32"/>
        </w:rPr>
        <w:t>均7.04个百分点</w:t>
      </w:r>
      <w:r w:rsidR="00FB3C2F" w:rsidRPr="00760F25">
        <w:rPr>
          <w:rFonts w:ascii="仿宋" w:eastAsia="仿宋" w:hAnsi="仿宋" w:hint="eastAsia"/>
          <w:sz w:val="32"/>
          <w:szCs w:val="32"/>
        </w:rPr>
        <w:t>。</w:t>
      </w:r>
    </w:p>
    <w:p w:rsidR="00FB3C2F" w:rsidRPr="00760F25" w:rsidRDefault="00FB3C2F" w:rsidP="00FB3C2F">
      <w:pPr>
        <w:ind w:firstLineChars="200" w:firstLine="640"/>
        <w:rPr>
          <w:rFonts w:ascii="仿宋" w:eastAsia="仿宋" w:hAnsi="仿宋"/>
          <w:b/>
          <w:bCs/>
          <w:sz w:val="32"/>
          <w:szCs w:val="32"/>
        </w:rPr>
      </w:pPr>
      <w:r w:rsidRPr="00760F25">
        <w:rPr>
          <w:rFonts w:ascii="仿宋" w:eastAsia="仿宋" w:hAnsi="仿宋" w:hint="eastAsia"/>
          <w:sz w:val="32"/>
          <w:szCs w:val="32"/>
        </w:rPr>
        <w:t>二、</w:t>
      </w:r>
      <w:r w:rsidRPr="00760F25">
        <w:rPr>
          <w:rFonts w:ascii="仿宋" w:eastAsia="仿宋" w:hAnsi="仿宋" w:hint="eastAsia"/>
          <w:b/>
          <w:bCs/>
          <w:sz w:val="32"/>
          <w:szCs w:val="32"/>
        </w:rPr>
        <w:t>业务发展情况通报</w:t>
      </w:r>
    </w:p>
    <w:p w:rsidR="00FB3C2F" w:rsidRPr="00760F25" w:rsidRDefault="00FB3C2F" w:rsidP="00890947">
      <w:pPr>
        <w:pStyle w:val="a3"/>
        <w:numPr>
          <w:ilvl w:val="0"/>
          <w:numId w:val="1"/>
        </w:numPr>
        <w:ind w:firstLineChars="0"/>
        <w:rPr>
          <w:rFonts w:ascii="仿宋" w:eastAsia="仿宋" w:hAnsi="仿宋"/>
          <w:b/>
          <w:bCs/>
          <w:sz w:val="32"/>
          <w:szCs w:val="32"/>
        </w:rPr>
      </w:pPr>
      <w:r w:rsidRPr="00760F25">
        <w:rPr>
          <w:rFonts w:ascii="仿宋" w:eastAsia="仿宋" w:hAnsi="仿宋" w:hint="eastAsia"/>
          <w:b/>
          <w:bCs/>
          <w:sz w:val="32"/>
          <w:szCs w:val="32"/>
        </w:rPr>
        <w:t>市场份额情况</w:t>
      </w:r>
    </w:p>
    <w:p w:rsidR="00B52ADD" w:rsidRPr="00760F25" w:rsidRDefault="00890947" w:rsidP="00FB3C2F">
      <w:pPr>
        <w:ind w:firstLineChars="200" w:firstLine="640"/>
        <w:rPr>
          <w:rFonts w:ascii="仿宋" w:eastAsia="仿宋" w:hAnsi="仿宋"/>
          <w:sz w:val="32"/>
          <w:szCs w:val="32"/>
        </w:rPr>
      </w:pPr>
      <w:r w:rsidRPr="00760F25">
        <w:rPr>
          <w:rFonts w:ascii="仿宋" w:eastAsia="仿宋" w:hAnsi="仿宋" w:hint="eastAsia"/>
          <w:sz w:val="32"/>
          <w:szCs w:val="32"/>
        </w:rPr>
        <w:t xml:space="preserve">从险种情况看， </w:t>
      </w:r>
      <w:r w:rsidR="00045FB2" w:rsidRPr="00760F25">
        <w:rPr>
          <w:rFonts w:ascii="仿宋" w:eastAsia="仿宋" w:hAnsi="仿宋" w:hint="eastAsia"/>
          <w:sz w:val="32"/>
          <w:szCs w:val="32"/>
        </w:rPr>
        <w:t>1-9月</w:t>
      </w:r>
      <w:r w:rsidRPr="00760F25">
        <w:rPr>
          <w:rFonts w:ascii="仿宋" w:eastAsia="仿宋" w:hAnsi="仿宋" w:hint="eastAsia"/>
          <w:sz w:val="32"/>
          <w:szCs w:val="32"/>
        </w:rPr>
        <w:t>，</w:t>
      </w:r>
      <w:proofErr w:type="gramStart"/>
      <w:r w:rsidRPr="00760F25">
        <w:rPr>
          <w:rFonts w:ascii="仿宋" w:eastAsia="仿宋" w:hAnsi="仿宋" w:hint="eastAsia"/>
          <w:sz w:val="32"/>
          <w:szCs w:val="32"/>
        </w:rPr>
        <w:t>全市</w:t>
      </w:r>
      <w:r w:rsidRPr="00760F25">
        <w:rPr>
          <w:rFonts w:ascii="仿宋" w:eastAsia="仿宋" w:hAnsi="仿宋" w:hint="eastAsia"/>
          <w:b/>
          <w:bCs/>
          <w:sz w:val="32"/>
          <w:szCs w:val="32"/>
        </w:rPr>
        <w:t>车</w:t>
      </w:r>
      <w:proofErr w:type="gramEnd"/>
      <w:r w:rsidRPr="00760F25">
        <w:rPr>
          <w:rFonts w:ascii="仿宋" w:eastAsia="仿宋" w:hAnsi="仿宋" w:hint="eastAsia"/>
          <w:b/>
          <w:bCs/>
          <w:sz w:val="32"/>
          <w:szCs w:val="32"/>
        </w:rPr>
        <w:t>险</w:t>
      </w:r>
      <w:r w:rsidRPr="00760F25">
        <w:rPr>
          <w:rFonts w:ascii="仿宋" w:eastAsia="仿宋" w:hAnsi="仿宋" w:hint="eastAsia"/>
          <w:sz w:val="32"/>
          <w:szCs w:val="32"/>
        </w:rPr>
        <w:t>累计实现保费</w:t>
      </w:r>
      <w:r w:rsidR="007B1741" w:rsidRPr="00760F25">
        <w:rPr>
          <w:rFonts w:ascii="仿宋" w:eastAsia="仿宋" w:hAnsi="仿宋" w:hint="eastAsia"/>
          <w:sz w:val="32"/>
          <w:szCs w:val="32"/>
        </w:rPr>
        <w:t>70892</w:t>
      </w:r>
      <w:r w:rsidRPr="00760F25">
        <w:rPr>
          <w:rFonts w:ascii="仿宋" w:eastAsia="仿宋" w:hAnsi="仿宋" w:hint="eastAsia"/>
          <w:sz w:val="32"/>
          <w:szCs w:val="32"/>
        </w:rPr>
        <w:t>万元，份额</w:t>
      </w:r>
      <w:r w:rsidR="007B1741" w:rsidRPr="00760F25">
        <w:rPr>
          <w:rFonts w:ascii="仿宋" w:eastAsia="仿宋" w:hAnsi="仿宋" w:hint="eastAsia"/>
          <w:sz w:val="32"/>
          <w:szCs w:val="32"/>
        </w:rPr>
        <w:t>62.39</w:t>
      </w:r>
      <w:r w:rsidRPr="00760F25">
        <w:rPr>
          <w:rFonts w:ascii="仿宋" w:eastAsia="仿宋" w:hAnsi="仿宋" w:hint="eastAsia"/>
          <w:sz w:val="32"/>
          <w:szCs w:val="32"/>
        </w:rPr>
        <w:t>%，同比下降</w:t>
      </w:r>
      <w:r w:rsidR="007B1741" w:rsidRPr="00760F25">
        <w:rPr>
          <w:rFonts w:ascii="仿宋" w:eastAsia="仿宋" w:hAnsi="仿宋" w:hint="eastAsia"/>
          <w:sz w:val="32"/>
          <w:szCs w:val="32"/>
        </w:rPr>
        <w:t>7.67</w:t>
      </w:r>
      <w:r w:rsidRPr="00760F25">
        <w:rPr>
          <w:rFonts w:ascii="仿宋" w:eastAsia="仿宋" w:hAnsi="仿宋" w:hint="eastAsia"/>
          <w:sz w:val="32"/>
          <w:szCs w:val="32"/>
        </w:rPr>
        <w:t>个百分点；</w:t>
      </w:r>
      <w:r w:rsidRPr="00760F25">
        <w:rPr>
          <w:rFonts w:ascii="仿宋" w:eastAsia="仿宋" w:hAnsi="仿宋" w:hint="eastAsia"/>
          <w:b/>
          <w:bCs/>
          <w:sz w:val="32"/>
          <w:szCs w:val="32"/>
        </w:rPr>
        <w:t>农险</w:t>
      </w:r>
      <w:r w:rsidRPr="00760F25">
        <w:rPr>
          <w:rFonts w:ascii="仿宋" w:eastAsia="仿宋" w:hAnsi="仿宋" w:hint="eastAsia"/>
          <w:sz w:val="32"/>
          <w:szCs w:val="32"/>
        </w:rPr>
        <w:t>保费</w:t>
      </w:r>
      <w:r w:rsidR="00044A15" w:rsidRPr="00760F25">
        <w:rPr>
          <w:rFonts w:ascii="仿宋" w:eastAsia="仿宋" w:hAnsi="仿宋" w:hint="eastAsia"/>
          <w:sz w:val="32"/>
          <w:szCs w:val="32"/>
        </w:rPr>
        <w:t>17170</w:t>
      </w:r>
      <w:r w:rsidRPr="00760F25">
        <w:rPr>
          <w:rFonts w:ascii="仿宋" w:eastAsia="仿宋" w:hAnsi="仿宋" w:hint="eastAsia"/>
          <w:sz w:val="32"/>
          <w:szCs w:val="32"/>
        </w:rPr>
        <w:t>万，份额</w:t>
      </w:r>
      <w:r w:rsidR="00044A15" w:rsidRPr="00760F25">
        <w:rPr>
          <w:rFonts w:ascii="仿宋" w:eastAsia="仿宋" w:hAnsi="仿宋" w:hint="eastAsia"/>
          <w:sz w:val="32"/>
          <w:szCs w:val="32"/>
        </w:rPr>
        <w:t>15.11</w:t>
      </w:r>
      <w:r w:rsidRPr="00760F25">
        <w:rPr>
          <w:rFonts w:ascii="仿宋" w:eastAsia="仿宋" w:hAnsi="仿宋" w:hint="eastAsia"/>
          <w:sz w:val="32"/>
          <w:szCs w:val="32"/>
        </w:rPr>
        <w:t>%，同比上升</w:t>
      </w:r>
      <w:r w:rsidR="00044A15" w:rsidRPr="00760F25">
        <w:rPr>
          <w:rFonts w:ascii="仿宋" w:eastAsia="仿宋" w:hAnsi="仿宋" w:hint="eastAsia"/>
          <w:sz w:val="32"/>
          <w:szCs w:val="32"/>
        </w:rPr>
        <w:t>2.29</w:t>
      </w:r>
      <w:r w:rsidRPr="00760F25">
        <w:rPr>
          <w:rFonts w:ascii="仿宋" w:eastAsia="仿宋" w:hAnsi="仿宋" w:hint="eastAsia"/>
          <w:sz w:val="32"/>
          <w:szCs w:val="32"/>
        </w:rPr>
        <w:t>个百分点；</w:t>
      </w:r>
      <w:proofErr w:type="gramStart"/>
      <w:r w:rsidRPr="00760F25">
        <w:rPr>
          <w:rFonts w:ascii="仿宋" w:eastAsia="仿宋" w:hAnsi="仿宋" w:hint="eastAsia"/>
          <w:b/>
          <w:bCs/>
          <w:sz w:val="32"/>
          <w:szCs w:val="32"/>
        </w:rPr>
        <w:t>商非</w:t>
      </w:r>
      <w:r w:rsidRPr="00760F25">
        <w:rPr>
          <w:rFonts w:ascii="仿宋" w:eastAsia="仿宋" w:hAnsi="仿宋" w:hint="eastAsia"/>
          <w:sz w:val="32"/>
          <w:szCs w:val="32"/>
        </w:rPr>
        <w:t>保费</w:t>
      </w:r>
      <w:proofErr w:type="gramEnd"/>
      <w:r w:rsidR="00044A15" w:rsidRPr="00760F25">
        <w:rPr>
          <w:rFonts w:ascii="仿宋" w:eastAsia="仿宋" w:hAnsi="仿宋" w:hint="eastAsia"/>
          <w:sz w:val="32"/>
          <w:szCs w:val="32"/>
        </w:rPr>
        <w:t>25564</w:t>
      </w:r>
      <w:r w:rsidRPr="00760F25">
        <w:rPr>
          <w:rFonts w:ascii="仿宋" w:eastAsia="仿宋" w:hAnsi="仿宋" w:hint="eastAsia"/>
          <w:sz w:val="32"/>
          <w:szCs w:val="32"/>
        </w:rPr>
        <w:t>万，份额</w:t>
      </w:r>
      <w:r w:rsidR="00044A15" w:rsidRPr="00760F25">
        <w:rPr>
          <w:rFonts w:ascii="仿宋" w:eastAsia="仿宋" w:hAnsi="仿宋" w:hint="eastAsia"/>
          <w:sz w:val="32"/>
          <w:szCs w:val="32"/>
        </w:rPr>
        <w:t>22.5</w:t>
      </w:r>
      <w:r w:rsidRPr="00760F25">
        <w:rPr>
          <w:rFonts w:ascii="仿宋" w:eastAsia="仿宋" w:hAnsi="仿宋" w:hint="eastAsia"/>
          <w:sz w:val="32"/>
          <w:szCs w:val="32"/>
        </w:rPr>
        <w:t>%，同比上升</w:t>
      </w:r>
      <w:r w:rsidR="00044A15" w:rsidRPr="00760F25">
        <w:rPr>
          <w:rFonts w:ascii="仿宋" w:eastAsia="仿宋" w:hAnsi="仿宋" w:hint="eastAsia"/>
          <w:sz w:val="32"/>
          <w:szCs w:val="32"/>
        </w:rPr>
        <w:t>5.38</w:t>
      </w:r>
      <w:r w:rsidRPr="00760F25">
        <w:rPr>
          <w:rFonts w:ascii="仿宋" w:eastAsia="仿宋" w:hAnsi="仿宋" w:hint="eastAsia"/>
          <w:sz w:val="32"/>
          <w:szCs w:val="32"/>
        </w:rPr>
        <w:t>个百分点。</w:t>
      </w:r>
    </w:p>
    <w:p w:rsidR="00FB3C2F" w:rsidRPr="00FB3C2F" w:rsidRDefault="00FB3C2F" w:rsidP="00FB3C2F">
      <w:pPr>
        <w:ind w:firstLineChars="200" w:firstLine="640"/>
        <w:rPr>
          <w:rFonts w:ascii="仿宋" w:eastAsia="仿宋" w:hAnsi="仿宋"/>
          <w:sz w:val="32"/>
          <w:szCs w:val="32"/>
        </w:rPr>
      </w:pPr>
      <w:r w:rsidRPr="00A115D4">
        <w:rPr>
          <w:rFonts w:ascii="仿宋" w:eastAsia="仿宋" w:hAnsi="仿宋" w:hint="eastAsia"/>
          <w:sz w:val="32"/>
          <w:szCs w:val="32"/>
        </w:rPr>
        <w:t>从各主体情况看，太平洋、</w:t>
      </w:r>
      <w:r w:rsidR="00BA2392" w:rsidRPr="00A115D4">
        <w:rPr>
          <w:rFonts w:ascii="仿宋" w:eastAsia="仿宋" w:hAnsi="仿宋" w:hint="eastAsia"/>
          <w:sz w:val="32"/>
          <w:szCs w:val="32"/>
        </w:rPr>
        <w:t>国寿财、</w:t>
      </w:r>
      <w:r w:rsidR="00760F25" w:rsidRPr="00A115D4">
        <w:rPr>
          <w:rFonts w:ascii="仿宋" w:eastAsia="仿宋" w:hAnsi="仿宋" w:hint="eastAsia"/>
          <w:sz w:val="32"/>
          <w:szCs w:val="32"/>
        </w:rPr>
        <w:t>天安、</w:t>
      </w:r>
      <w:r w:rsidR="00BA2392" w:rsidRPr="00A115D4">
        <w:rPr>
          <w:rFonts w:ascii="仿宋" w:eastAsia="仿宋" w:hAnsi="仿宋" w:hint="eastAsia"/>
          <w:sz w:val="32"/>
          <w:szCs w:val="32"/>
        </w:rPr>
        <w:t>大家、太平、华安、</w:t>
      </w:r>
      <w:r w:rsidRPr="00A115D4">
        <w:rPr>
          <w:rFonts w:ascii="仿宋" w:eastAsia="仿宋" w:hAnsi="仿宋" w:hint="eastAsia"/>
          <w:sz w:val="32"/>
          <w:szCs w:val="32"/>
        </w:rPr>
        <w:t>安华农业、</w:t>
      </w:r>
      <w:r w:rsidR="00BA2392" w:rsidRPr="00A115D4">
        <w:rPr>
          <w:rFonts w:ascii="仿宋" w:eastAsia="仿宋" w:hAnsi="仿宋" w:hint="eastAsia"/>
          <w:sz w:val="32"/>
          <w:szCs w:val="32"/>
        </w:rPr>
        <w:t>中航安盟、英大</w:t>
      </w:r>
      <w:r w:rsidRPr="00A115D4">
        <w:rPr>
          <w:rFonts w:ascii="仿宋" w:eastAsia="仿宋" w:hAnsi="仿宋" w:hint="eastAsia"/>
          <w:sz w:val="32"/>
          <w:szCs w:val="32"/>
        </w:rPr>
        <w:t>等</w:t>
      </w:r>
      <w:r w:rsidR="00BA2392" w:rsidRPr="00A115D4">
        <w:rPr>
          <w:rFonts w:ascii="仿宋" w:eastAsia="仿宋" w:hAnsi="仿宋" w:hint="eastAsia"/>
          <w:sz w:val="32"/>
          <w:szCs w:val="32"/>
        </w:rPr>
        <w:t>9</w:t>
      </w:r>
      <w:r w:rsidRPr="00A115D4">
        <w:rPr>
          <w:rFonts w:ascii="仿宋" w:eastAsia="仿宋" w:hAnsi="仿宋" w:hint="eastAsia"/>
          <w:sz w:val="32"/>
          <w:szCs w:val="32"/>
        </w:rPr>
        <w:t>家机构份额同比上升，其余</w:t>
      </w:r>
      <w:r w:rsidR="00BA2392" w:rsidRPr="00A115D4">
        <w:rPr>
          <w:rFonts w:ascii="仿宋" w:eastAsia="仿宋" w:hAnsi="仿宋" w:hint="eastAsia"/>
          <w:sz w:val="32"/>
          <w:szCs w:val="32"/>
        </w:rPr>
        <w:t>11</w:t>
      </w:r>
      <w:r w:rsidRPr="00A115D4">
        <w:rPr>
          <w:rFonts w:ascii="仿宋" w:eastAsia="仿宋" w:hAnsi="仿宋" w:hint="eastAsia"/>
          <w:sz w:val="32"/>
          <w:szCs w:val="32"/>
        </w:rPr>
        <w:t>家份额同比下降。</w:t>
      </w:r>
    </w:p>
    <w:p w:rsidR="00FB3C2F" w:rsidRPr="00FB3C2F" w:rsidRDefault="00760F25" w:rsidP="00FB3C2F">
      <w:pPr>
        <w:rPr>
          <w:rFonts w:ascii="仿宋" w:eastAsia="仿宋" w:hAnsi="仿宋"/>
          <w:sz w:val="32"/>
          <w:szCs w:val="32"/>
        </w:rPr>
      </w:pPr>
      <w:r>
        <w:rPr>
          <w:noProof/>
        </w:rPr>
        <w:drawing>
          <wp:inline distT="0" distB="0" distL="0" distR="0" wp14:anchorId="571BF342" wp14:editId="6650191E">
            <wp:extent cx="5335325" cy="2035534"/>
            <wp:effectExtent l="0" t="0" r="17780" b="22225"/>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B3C2F" w:rsidRPr="00FB3C2F" w:rsidRDefault="00FB3C2F" w:rsidP="00890947">
      <w:pPr>
        <w:pStyle w:val="a3"/>
        <w:numPr>
          <w:ilvl w:val="0"/>
          <w:numId w:val="1"/>
        </w:numPr>
        <w:ind w:firstLineChars="0"/>
        <w:rPr>
          <w:rFonts w:ascii="仿宋" w:eastAsia="仿宋" w:hAnsi="仿宋"/>
          <w:sz w:val="32"/>
          <w:szCs w:val="32"/>
        </w:rPr>
      </w:pPr>
      <w:r w:rsidRPr="00FB3C2F">
        <w:rPr>
          <w:rFonts w:ascii="仿宋" w:eastAsia="仿宋" w:hAnsi="仿宋" w:hint="eastAsia"/>
          <w:b/>
          <w:bCs/>
          <w:sz w:val="32"/>
          <w:szCs w:val="32"/>
        </w:rPr>
        <w:lastRenderedPageBreak/>
        <w:t>行业增速情况</w:t>
      </w:r>
    </w:p>
    <w:p w:rsidR="00B52ADD" w:rsidRPr="00FB3C2F" w:rsidRDefault="00890947" w:rsidP="00FB3C2F">
      <w:pPr>
        <w:ind w:firstLineChars="200" w:firstLine="640"/>
        <w:rPr>
          <w:rFonts w:ascii="仿宋" w:eastAsia="仿宋" w:hAnsi="仿宋"/>
          <w:sz w:val="32"/>
          <w:szCs w:val="32"/>
        </w:rPr>
      </w:pPr>
      <w:r w:rsidRPr="00FB3C2F">
        <w:rPr>
          <w:rFonts w:ascii="仿宋" w:eastAsia="仿宋" w:hAnsi="仿宋" w:hint="eastAsia"/>
          <w:sz w:val="32"/>
          <w:szCs w:val="32"/>
        </w:rPr>
        <w:t>截止</w:t>
      </w:r>
      <w:r w:rsidR="00045FB2">
        <w:rPr>
          <w:rFonts w:ascii="仿宋" w:eastAsia="仿宋" w:hAnsi="仿宋" w:hint="eastAsia"/>
          <w:sz w:val="32"/>
          <w:szCs w:val="32"/>
        </w:rPr>
        <w:t>9</w:t>
      </w:r>
      <w:r w:rsidRPr="00FB3C2F">
        <w:rPr>
          <w:rFonts w:ascii="仿宋" w:eastAsia="仿宋" w:hAnsi="仿宋" w:hint="eastAsia"/>
          <w:sz w:val="32"/>
          <w:szCs w:val="32"/>
        </w:rPr>
        <w:t>月末，丹东财险市场业务增速</w:t>
      </w:r>
      <w:r w:rsidR="0037664A">
        <w:rPr>
          <w:rFonts w:ascii="仿宋" w:eastAsia="仿宋" w:hAnsi="仿宋" w:hint="eastAsia"/>
          <w:sz w:val="32"/>
          <w:szCs w:val="32"/>
        </w:rPr>
        <w:t>11.65</w:t>
      </w:r>
      <w:r w:rsidRPr="00FB3C2F">
        <w:rPr>
          <w:rFonts w:ascii="仿宋" w:eastAsia="仿宋" w:hAnsi="仿宋" w:hint="eastAsia"/>
          <w:sz w:val="32"/>
          <w:szCs w:val="32"/>
        </w:rPr>
        <w:t>%，同比提升</w:t>
      </w:r>
      <w:r w:rsidR="0037664A">
        <w:rPr>
          <w:rFonts w:ascii="仿宋" w:eastAsia="仿宋" w:hAnsi="仿宋" w:hint="eastAsia"/>
          <w:sz w:val="32"/>
          <w:szCs w:val="32"/>
        </w:rPr>
        <w:t>2.5</w:t>
      </w:r>
      <w:r w:rsidRPr="00FB3C2F">
        <w:rPr>
          <w:rFonts w:ascii="仿宋" w:eastAsia="仿宋" w:hAnsi="仿宋" w:hint="eastAsia"/>
          <w:sz w:val="32"/>
          <w:szCs w:val="32"/>
        </w:rPr>
        <w:t>个百分点。</w:t>
      </w:r>
    </w:p>
    <w:p w:rsidR="00FB3C2F" w:rsidRPr="00FB3C2F" w:rsidRDefault="00FB3C2F" w:rsidP="00FB3C2F">
      <w:pPr>
        <w:rPr>
          <w:rFonts w:ascii="仿宋" w:eastAsia="仿宋" w:hAnsi="仿宋"/>
          <w:sz w:val="32"/>
          <w:szCs w:val="32"/>
        </w:rPr>
      </w:pPr>
      <w:r w:rsidRPr="00FB3C2F">
        <w:rPr>
          <w:rFonts w:ascii="仿宋" w:eastAsia="仿宋" w:hAnsi="仿宋" w:hint="eastAsia"/>
          <w:sz w:val="32"/>
          <w:szCs w:val="32"/>
        </w:rPr>
        <w:t xml:space="preserve">    </w:t>
      </w:r>
      <w:r w:rsidRPr="00A115D4">
        <w:rPr>
          <w:rFonts w:ascii="仿宋" w:eastAsia="仿宋" w:hAnsi="仿宋" w:hint="eastAsia"/>
          <w:sz w:val="32"/>
          <w:szCs w:val="32"/>
        </w:rPr>
        <w:t>20家财</w:t>
      </w:r>
      <w:proofErr w:type="gramStart"/>
      <w:r w:rsidRPr="00A115D4">
        <w:rPr>
          <w:rFonts w:ascii="仿宋" w:eastAsia="仿宋" w:hAnsi="仿宋" w:hint="eastAsia"/>
          <w:sz w:val="32"/>
          <w:szCs w:val="32"/>
        </w:rPr>
        <w:t>险机构</w:t>
      </w:r>
      <w:proofErr w:type="gramEnd"/>
      <w:r w:rsidRPr="00A115D4">
        <w:rPr>
          <w:rFonts w:ascii="仿宋" w:eastAsia="仿宋" w:hAnsi="仿宋" w:hint="eastAsia"/>
          <w:sz w:val="32"/>
          <w:szCs w:val="32"/>
        </w:rPr>
        <w:t>中：人保、太平洋、平安、中华联合、国寿财、天安、华安、大家、阳光、太平、安华农业、英大、中航安盟等13家机构业务实现增长，其中：太平洋、国寿财、</w:t>
      </w:r>
      <w:r w:rsidR="00BA2392" w:rsidRPr="00A115D4">
        <w:rPr>
          <w:rFonts w:ascii="仿宋" w:eastAsia="仿宋" w:hAnsi="仿宋" w:hint="eastAsia"/>
          <w:sz w:val="32"/>
          <w:szCs w:val="32"/>
        </w:rPr>
        <w:t>天安、华安、</w:t>
      </w:r>
      <w:r w:rsidRPr="00A115D4">
        <w:rPr>
          <w:rFonts w:ascii="仿宋" w:eastAsia="仿宋" w:hAnsi="仿宋" w:hint="eastAsia"/>
          <w:sz w:val="32"/>
          <w:szCs w:val="32"/>
        </w:rPr>
        <w:t>大家、</w:t>
      </w:r>
      <w:r w:rsidR="00BA2392" w:rsidRPr="00A115D4">
        <w:rPr>
          <w:rFonts w:ascii="仿宋" w:eastAsia="仿宋" w:hAnsi="仿宋" w:hint="eastAsia"/>
          <w:sz w:val="32"/>
          <w:szCs w:val="32"/>
        </w:rPr>
        <w:t>太平、安华、英大、中航安盟等9</w:t>
      </w:r>
      <w:r w:rsidRPr="00A115D4">
        <w:rPr>
          <w:rFonts w:ascii="仿宋" w:eastAsia="仿宋" w:hAnsi="仿宋" w:hint="eastAsia"/>
          <w:sz w:val="32"/>
          <w:szCs w:val="32"/>
        </w:rPr>
        <w:t>家公司保费增速超过丹东地区平均水平，</w:t>
      </w:r>
      <w:r w:rsidR="00BA2392" w:rsidRPr="00A115D4">
        <w:rPr>
          <w:rFonts w:ascii="仿宋" w:eastAsia="仿宋" w:hAnsi="仿宋" w:hint="eastAsia"/>
          <w:sz w:val="32"/>
          <w:szCs w:val="32"/>
        </w:rPr>
        <w:t>大地、永安、渤海、永城、亚太、</w:t>
      </w:r>
      <w:r w:rsidR="00A115D4" w:rsidRPr="00A115D4">
        <w:rPr>
          <w:rFonts w:ascii="仿宋" w:eastAsia="仿宋" w:hAnsi="仿宋" w:hint="eastAsia"/>
          <w:sz w:val="32"/>
          <w:szCs w:val="32"/>
        </w:rPr>
        <w:t>浙商、富邦7</w:t>
      </w:r>
      <w:r w:rsidRPr="00A115D4">
        <w:rPr>
          <w:rFonts w:ascii="仿宋" w:eastAsia="仿宋" w:hAnsi="仿宋" w:hint="eastAsia"/>
          <w:sz w:val="32"/>
          <w:szCs w:val="32"/>
        </w:rPr>
        <w:t>家机构业务出现负增长。</w:t>
      </w:r>
    </w:p>
    <w:p w:rsidR="00FB3C2F" w:rsidRDefault="00BA2392" w:rsidP="00FB3C2F">
      <w:pPr>
        <w:rPr>
          <w:rFonts w:ascii="仿宋" w:eastAsia="仿宋" w:hAnsi="仿宋"/>
          <w:sz w:val="32"/>
          <w:szCs w:val="32"/>
        </w:rPr>
      </w:pPr>
      <w:r>
        <w:rPr>
          <w:noProof/>
        </w:rPr>
        <w:drawing>
          <wp:inline distT="0" distB="0" distL="0" distR="0" wp14:anchorId="4B1EF84D" wp14:editId="7E2888FF">
            <wp:extent cx="5319422" cy="1900362"/>
            <wp:effectExtent l="0" t="0" r="14605" b="24130"/>
            <wp:docPr id="16" name="图表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B3C2F" w:rsidRPr="00FB3C2F" w:rsidRDefault="00FB3C2F" w:rsidP="00FB3C2F">
      <w:pPr>
        <w:ind w:firstLineChars="200" w:firstLine="643"/>
        <w:rPr>
          <w:rFonts w:ascii="仿宋" w:eastAsia="仿宋" w:hAnsi="仿宋"/>
          <w:sz w:val="32"/>
          <w:szCs w:val="32"/>
        </w:rPr>
      </w:pPr>
      <w:r>
        <w:rPr>
          <w:rFonts w:ascii="仿宋" w:eastAsia="仿宋" w:hAnsi="仿宋" w:hint="eastAsia"/>
          <w:b/>
          <w:bCs/>
          <w:sz w:val="32"/>
          <w:szCs w:val="32"/>
        </w:rPr>
        <w:t>（三）</w:t>
      </w:r>
      <w:r w:rsidRPr="00FB3C2F">
        <w:rPr>
          <w:rFonts w:ascii="仿宋" w:eastAsia="仿宋" w:hAnsi="仿宋" w:hint="eastAsia"/>
          <w:b/>
          <w:bCs/>
          <w:sz w:val="32"/>
          <w:szCs w:val="32"/>
        </w:rPr>
        <w:t>车险市场情况</w:t>
      </w:r>
    </w:p>
    <w:p w:rsidR="00B52ADD" w:rsidRPr="00FB3C2F" w:rsidRDefault="00FB3C2F" w:rsidP="00FB3C2F">
      <w:pPr>
        <w:ind w:firstLineChars="200" w:firstLine="643"/>
        <w:rPr>
          <w:rFonts w:ascii="仿宋" w:eastAsia="仿宋" w:hAnsi="仿宋"/>
          <w:sz w:val="32"/>
          <w:szCs w:val="32"/>
        </w:rPr>
      </w:pPr>
      <w:r>
        <w:rPr>
          <w:rFonts w:ascii="仿宋" w:eastAsia="仿宋" w:hAnsi="仿宋" w:hint="eastAsia"/>
          <w:b/>
          <w:bCs/>
          <w:sz w:val="32"/>
          <w:szCs w:val="32"/>
        </w:rPr>
        <w:t>1、</w:t>
      </w:r>
      <w:r w:rsidR="00890947" w:rsidRPr="00FB3C2F">
        <w:rPr>
          <w:rFonts w:ascii="仿宋" w:eastAsia="仿宋" w:hAnsi="仿宋" w:hint="eastAsia"/>
          <w:b/>
          <w:bCs/>
          <w:sz w:val="32"/>
          <w:szCs w:val="32"/>
        </w:rPr>
        <w:t>车险份额情况</w:t>
      </w:r>
    </w:p>
    <w:p w:rsidR="00FB3C2F" w:rsidRPr="00FB3C2F" w:rsidRDefault="00FB3C2F" w:rsidP="00FB3C2F">
      <w:pPr>
        <w:rPr>
          <w:rFonts w:ascii="仿宋" w:eastAsia="仿宋" w:hAnsi="仿宋"/>
          <w:sz w:val="32"/>
          <w:szCs w:val="32"/>
        </w:rPr>
      </w:pPr>
      <w:r>
        <w:rPr>
          <w:rFonts w:ascii="仿宋" w:eastAsia="仿宋" w:hAnsi="仿宋" w:hint="eastAsia"/>
          <w:sz w:val="32"/>
          <w:szCs w:val="32"/>
        </w:rPr>
        <w:t xml:space="preserve">    </w:t>
      </w:r>
      <w:r w:rsidR="00045FB2">
        <w:rPr>
          <w:rFonts w:ascii="仿宋" w:eastAsia="仿宋" w:hAnsi="仿宋" w:hint="eastAsia"/>
          <w:sz w:val="32"/>
          <w:szCs w:val="32"/>
        </w:rPr>
        <w:t>1-9月</w:t>
      </w:r>
      <w:r w:rsidRPr="00FB3C2F">
        <w:rPr>
          <w:rFonts w:ascii="仿宋" w:eastAsia="仿宋" w:hAnsi="仿宋" w:hint="eastAsia"/>
          <w:sz w:val="32"/>
          <w:szCs w:val="32"/>
        </w:rPr>
        <w:t>，全市20家财</w:t>
      </w:r>
      <w:proofErr w:type="gramStart"/>
      <w:r w:rsidRPr="00FB3C2F">
        <w:rPr>
          <w:rFonts w:ascii="仿宋" w:eastAsia="仿宋" w:hAnsi="仿宋" w:hint="eastAsia"/>
          <w:sz w:val="32"/>
          <w:szCs w:val="32"/>
        </w:rPr>
        <w:t>险主体</w:t>
      </w:r>
      <w:proofErr w:type="gramEnd"/>
      <w:r w:rsidRPr="00FB3C2F">
        <w:rPr>
          <w:rFonts w:ascii="仿宋" w:eastAsia="仿宋" w:hAnsi="仿宋" w:hint="eastAsia"/>
          <w:sz w:val="32"/>
          <w:szCs w:val="32"/>
        </w:rPr>
        <w:t>累计实现车险保费</w:t>
      </w:r>
      <w:r w:rsidR="00A93B98">
        <w:rPr>
          <w:rFonts w:ascii="仿宋" w:eastAsia="仿宋" w:hAnsi="仿宋" w:hint="eastAsia"/>
          <w:sz w:val="32"/>
          <w:szCs w:val="32"/>
        </w:rPr>
        <w:t>70892</w:t>
      </w:r>
      <w:r w:rsidRPr="00FB3C2F">
        <w:rPr>
          <w:rFonts w:ascii="仿宋" w:eastAsia="仿宋" w:hAnsi="仿宋" w:hint="eastAsia"/>
          <w:sz w:val="32"/>
          <w:szCs w:val="32"/>
        </w:rPr>
        <w:t>万元，占丹东财险市场份额</w:t>
      </w:r>
      <w:r w:rsidR="00A93B98">
        <w:rPr>
          <w:rFonts w:ascii="仿宋" w:eastAsia="仿宋" w:hAnsi="仿宋" w:hint="eastAsia"/>
          <w:sz w:val="32"/>
          <w:szCs w:val="32"/>
        </w:rPr>
        <w:t>62.39</w:t>
      </w:r>
      <w:r w:rsidRPr="00FB3C2F">
        <w:rPr>
          <w:rFonts w:ascii="仿宋" w:eastAsia="仿宋" w:hAnsi="仿宋" w:hint="eastAsia"/>
          <w:sz w:val="32"/>
          <w:szCs w:val="32"/>
        </w:rPr>
        <w:t>%，同比下降</w:t>
      </w:r>
      <w:r w:rsidR="00A93B98">
        <w:rPr>
          <w:rFonts w:ascii="仿宋" w:eastAsia="仿宋" w:hAnsi="仿宋" w:hint="eastAsia"/>
          <w:sz w:val="32"/>
          <w:szCs w:val="32"/>
        </w:rPr>
        <w:t>7.67</w:t>
      </w:r>
      <w:r w:rsidRPr="00FB3C2F">
        <w:rPr>
          <w:rFonts w:ascii="仿宋" w:eastAsia="仿宋" w:hAnsi="仿宋" w:hint="eastAsia"/>
          <w:sz w:val="32"/>
          <w:szCs w:val="32"/>
        </w:rPr>
        <w:t>个百分点，车险保费占全省车险市场的4.</w:t>
      </w:r>
      <w:r w:rsidR="00A93B98">
        <w:rPr>
          <w:rFonts w:ascii="仿宋" w:eastAsia="仿宋" w:hAnsi="仿宋" w:hint="eastAsia"/>
          <w:sz w:val="32"/>
          <w:szCs w:val="32"/>
        </w:rPr>
        <w:t>39</w:t>
      </w:r>
      <w:r w:rsidRPr="00FB3C2F">
        <w:rPr>
          <w:rFonts w:ascii="仿宋" w:eastAsia="仿宋" w:hAnsi="仿宋" w:hint="eastAsia"/>
          <w:sz w:val="32"/>
          <w:szCs w:val="32"/>
        </w:rPr>
        <w:t xml:space="preserve"> %，同比下降</w:t>
      </w:r>
      <w:r w:rsidR="00A93B98">
        <w:rPr>
          <w:rFonts w:ascii="仿宋" w:eastAsia="仿宋" w:hAnsi="仿宋" w:hint="eastAsia"/>
          <w:sz w:val="32"/>
          <w:szCs w:val="32"/>
        </w:rPr>
        <w:t>0.28</w:t>
      </w:r>
      <w:r w:rsidRPr="00FB3C2F">
        <w:rPr>
          <w:rFonts w:ascii="仿宋" w:eastAsia="仿宋" w:hAnsi="仿宋" w:hint="eastAsia"/>
          <w:sz w:val="32"/>
          <w:szCs w:val="32"/>
        </w:rPr>
        <w:t>个百分点。</w:t>
      </w:r>
    </w:p>
    <w:p w:rsidR="00FB3C2F" w:rsidRPr="00FB3C2F" w:rsidRDefault="00FB3C2F" w:rsidP="00FB3C2F">
      <w:pPr>
        <w:ind w:firstLineChars="200" w:firstLine="640"/>
        <w:rPr>
          <w:rFonts w:ascii="仿宋" w:eastAsia="仿宋" w:hAnsi="仿宋"/>
          <w:sz w:val="32"/>
          <w:szCs w:val="32"/>
        </w:rPr>
      </w:pPr>
      <w:r w:rsidRPr="00A115D4">
        <w:rPr>
          <w:rFonts w:ascii="仿宋" w:eastAsia="仿宋" w:hAnsi="仿宋" w:hint="eastAsia"/>
          <w:sz w:val="32"/>
          <w:szCs w:val="32"/>
        </w:rPr>
        <w:t>从主体情况看，人保、</w:t>
      </w:r>
      <w:r w:rsidR="00A93B98" w:rsidRPr="00A115D4">
        <w:rPr>
          <w:rFonts w:ascii="仿宋" w:eastAsia="仿宋" w:hAnsi="仿宋" w:hint="eastAsia"/>
          <w:sz w:val="32"/>
          <w:szCs w:val="32"/>
        </w:rPr>
        <w:t>太平洋、</w:t>
      </w:r>
      <w:r w:rsidRPr="00A115D4">
        <w:rPr>
          <w:rFonts w:ascii="仿宋" w:eastAsia="仿宋" w:hAnsi="仿宋" w:hint="eastAsia"/>
          <w:sz w:val="32"/>
          <w:szCs w:val="32"/>
        </w:rPr>
        <w:t>平安、</w:t>
      </w:r>
      <w:r w:rsidR="00A93B98" w:rsidRPr="00A115D4">
        <w:rPr>
          <w:rFonts w:ascii="仿宋" w:eastAsia="仿宋" w:hAnsi="仿宋" w:hint="eastAsia"/>
          <w:sz w:val="32"/>
          <w:szCs w:val="32"/>
        </w:rPr>
        <w:t>中华联合、</w:t>
      </w:r>
      <w:r w:rsidRPr="00A115D4">
        <w:rPr>
          <w:rFonts w:ascii="仿宋" w:eastAsia="仿宋" w:hAnsi="仿宋" w:hint="eastAsia"/>
          <w:sz w:val="32"/>
          <w:szCs w:val="32"/>
        </w:rPr>
        <w:t>国寿财、</w:t>
      </w:r>
      <w:r w:rsidR="00A93B98" w:rsidRPr="00A115D4">
        <w:rPr>
          <w:rFonts w:ascii="仿宋" w:eastAsia="仿宋" w:hAnsi="仿宋" w:hint="eastAsia"/>
          <w:sz w:val="32"/>
          <w:szCs w:val="32"/>
        </w:rPr>
        <w:t>华安、大家、永城、</w:t>
      </w:r>
      <w:r w:rsidRPr="00A115D4">
        <w:rPr>
          <w:rFonts w:ascii="仿宋" w:eastAsia="仿宋" w:hAnsi="仿宋" w:hint="eastAsia"/>
          <w:sz w:val="32"/>
          <w:szCs w:val="32"/>
        </w:rPr>
        <w:t>太平、英大</w:t>
      </w:r>
      <w:r w:rsidR="00A93B98" w:rsidRPr="00A115D4">
        <w:rPr>
          <w:rFonts w:ascii="仿宋" w:eastAsia="仿宋" w:hAnsi="仿宋" w:hint="eastAsia"/>
          <w:sz w:val="32"/>
          <w:szCs w:val="32"/>
        </w:rPr>
        <w:t>等10</w:t>
      </w:r>
      <w:r w:rsidRPr="00A115D4">
        <w:rPr>
          <w:rFonts w:ascii="仿宋" w:eastAsia="仿宋" w:hAnsi="仿宋" w:hint="eastAsia"/>
          <w:sz w:val="32"/>
          <w:szCs w:val="32"/>
        </w:rPr>
        <w:t>家公司车险份额</w:t>
      </w:r>
      <w:r w:rsidRPr="00A115D4">
        <w:rPr>
          <w:rFonts w:ascii="仿宋" w:eastAsia="仿宋" w:hAnsi="仿宋" w:hint="eastAsia"/>
          <w:sz w:val="32"/>
          <w:szCs w:val="32"/>
        </w:rPr>
        <w:lastRenderedPageBreak/>
        <w:t>同比提升，其余</w:t>
      </w:r>
      <w:r w:rsidR="00A115D4" w:rsidRPr="00A115D4">
        <w:rPr>
          <w:rFonts w:ascii="仿宋" w:eastAsia="仿宋" w:hAnsi="仿宋" w:hint="eastAsia"/>
          <w:sz w:val="32"/>
          <w:szCs w:val="32"/>
        </w:rPr>
        <w:t>10</w:t>
      </w:r>
      <w:r w:rsidRPr="00A115D4">
        <w:rPr>
          <w:rFonts w:ascii="仿宋" w:eastAsia="仿宋" w:hAnsi="仿宋" w:hint="eastAsia"/>
          <w:sz w:val="32"/>
          <w:szCs w:val="32"/>
        </w:rPr>
        <w:t>家车险份额同比下降。其中：车险市场份额前三位的分别为：人保37.2</w:t>
      </w:r>
      <w:r w:rsidR="00A115D4" w:rsidRPr="00A115D4">
        <w:rPr>
          <w:rFonts w:ascii="仿宋" w:eastAsia="仿宋" w:hAnsi="仿宋" w:hint="eastAsia"/>
          <w:sz w:val="32"/>
          <w:szCs w:val="32"/>
        </w:rPr>
        <w:t>1</w:t>
      </w:r>
      <w:r w:rsidRPr="00A115D4">
        <w:rPr>
          <w:rFonts w:ascii="仿宋" w:eastAsia="仿宋" w:hAnsi="仿宋" w:hint="eastAsia"/>
          <w:sz w:val="32"/>
          <w:szCs w:val="32"/>
        </w:rPr>
        <w:t>%、平安22.</w:t>
      </w:r>
      <w:r w:rsidR="00A115D4" w:rsidRPr="00A115D4">
        <w:rPr>
          <w:rFonts w:ascii="仿宋" w:eastAsia="仿宋" w:hAnsi="仿宋" w:hint="eastAsia"/>
          <w:sz w:val="32"/>
          <w:szCs w:val="32"/>
        </w:rPr>
        <w:t>14</w:t>
      </w:r>
      <w:r w:rsidRPr="00A115D4">
        <w:rPr>
          <w:rFonts w:ascii="仿宋" w:eastAsia="仿宋" w:hAnsi="仿宋" w:hint="eastAsia"/>
          <w:sz w:val="32"/>
          <w:szCs w:val="32"/>
        </w:rPr>
        <w:t>%、太平洋</w:t>
      </w:r>
      <w:r w:rsidR="00A115D4" w:rsidRPr="00A115D4">
        <w:rPr>
          <w:rFonts w:ascii="仿宋" w:eastAsia="仿宋" w:hAnsi="仿宋" w:hint="eastAsia"/>
          <w:sz w:val="32"/>
          <w:szCs w:val="32"/>
        </w:rPr>
        <w:t xml:space="preserve">10.8 </w:t>
      </w:r>
      <w:r w:rsidRPr="00A115D4">
        <w:rPr>
          <w:rFonts w:ascii="仿宋" w:eastAsia="仿宋" w:hAnsi="仿宋" w:hint="eastAsia"/>
          <w:sz w:val="32"/>
          <w:szCs w:val="32"/>
        </w:rPr>
        <w:t>%。</w:t>
      </w:r>
    </w:p>
    <w:p w:rsidR="00FB3C2F" w:rsidRDefault="00A115D4" w:rsidP="00FB3C2F">
      <w:pPr>
        <w:rPr>
          <w:rFonts w:ascii="仿宋" w:eastAsia="仿宋" w:hAnsi="仿宋"/>
          <w:sz w:val="32"/>
          <w:szCs w:val="32"/>
        </w:rPr>
      </w:pPr>
      <w:r>
        <w:rPr>
          <w:noProof/>
        </w:rPr>
        <w:drawing>
          <wp:inline distT="0" distB="0" distL="0" distR="0" wp14:anchorId="6775BE18" wp14:editId="65BF3B3E">
            <wp:extent cx="5470497" cy="2560320"/>
            <wp:effectExtent l="0" t="0" r="16510" b="11430"/>
            <wp:docPr id="24" name="图表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52ADD" w:rsidRPr="00FB3C2F" w:rsidRDefault="00FB3C2F" w:rsidP="00FB3C2F">
      <w:pPr>
        <w:ind w:firstLineChars="200" w:firstLine="643"/>
        <w:rPr>
          <w:rFonts w:ascii="仿宋" w:eastAsia="仿宋" w:hAnsi="仿宋"/>
          <w:sz w:val="32"/>
          <w:szCs w:val="32"/>
        </w:rPr>
      </w:pPr>
      <w:r>
        <w:rPr>
          <w:rFonts w:ascii="仿宋" w:eastAsia="仿宋" w:hAnsi="仿宋" w:hint="eastAsia"/>
          <w:b/>
          <w:bCs/>
          <w:sz w:val="32"/>
          <w:szCs w:val="32"/>
        </w:rPr>
        <w:t>2、</w:t>
      </w:r>
      <w:r w:rsidR="00890947" w:rsidRPr="00FB3C2F">
        <w:rPr>
          <w:rFonts w:ascii="仿宋" w:eastAsia="仿宋" w:hAnsi="仿宋" w:hint="eastAsia"/>
          <w:b/>
          <w:bCs/>
          <w:sz w:val="32"/>
          <w:szCs w:val="32"/>
        </w:rPr>
        <w:t>车险增速情况</w:t>
      </w:r>
    </w:p>
    <w:p w:rsidR="00FB3C2F" w:rsidRPr="00FB3C2F" w:rsidRDefault="00045FB2" w:rsidP="00FB3C2F">
      <w:pPr>
        <w:ind w:firstLineChars="200" w:firstLine="640"/>
        <w:rPr>
          <w:rFonts w:ascii="仿宋" w:eastAsia="仿宋" w:hAnsi="仿宋"/>
          <w:sz w:val="32"/>
          <w:szCs w:val="32"/>
        </w:rPr>
      </w:pPr>
      <w:r>
        <w:rPr>
          <w:rFonts w:ascii="仿宋" w:eastAsia="仿宋" w:hAnsi="仿宋" w:hint="eastAsia"/>
          <w:sz w:val="32"/>
          <w:szCs w:val="32"/>
        </w:rPr>
        <w:t>9</w:t>
      </w:r>
      <w:r w:rsidR="00FB3C2F" w:rsidRPr="00FB3C2F">
        <w:rPr>
          <w:rFonts w:ascii="仿宋" w:eastAsia="仿宋" w:hAnsi="仿宋" w:hint="eastAsia"/>
          <w:sz w:val="32"/>
          <w:szCs w:val="32"/>
        </w:rPr>
        <w:t>月末，丹东市场车险业务负增长（增速-</w:t>
      </w:r>
      <w:r w:rsidR="00A93B98">
        <w:rPr>
          <w:rFonts w:ascii="仿宋" w:eastAsia="仿宋" w:hAnsi="仿宋" w:hint="eastAsia"/>
          <w:sz w:val="32"/>
          <w:szCs w:val="32"/>
        </w:rPr>
        <w:t>0.5</w:t>
      </w:r>
      <w:r w:rsidR="00540591">
        <w:rPr>
          <w:rFonts w:ascii="仿宋" w:eastAsia="仿宋" w:hAnsi="仿宋" w:hint="eastAsia"/>
          <w:sz w:val="32"/>
          <w:szCs w:val="32"/>
        </w:rPr>
        <w:t>8</w:t>
      </w:r>
      <w:r w:rsidR="00FB3C2F" w:rsidRPr="00FB3C2F">
        <w:rPr>
          <w:rFonts w:ascii="仿宋" w:eastAsia="仿宋" w:hAnsi="仿宋" w:hint="eastAsia"/>
          <w:sz w:val="32"/>
          <w:szCs w:val="32"/>
        </w:rPr>
        <w:t xml:space="preserve"> %），行业车险增速同比下降</w:t>
      </w:r>
      <w:r w:rsidR="00A93B98">
        <w:rPr>
          <w:rFonts w:ascii="仿宋" w:eastAsia="仿宋" w:hAnsi="仿宋" w:hint="eastAsia"/>
          <w:sz w:val="32"/>
          <w:szCs w:val="32"/>
        </w:rPr>
        <w:t>5.7</w:t>
      </w:r>
      <w:r w:rsidR="0037664A">
        <w:rPr>
          <w:rFonts w:ascii="仿宋" w:eastAsia="仿宋" w:hAnsi="仿宋" w:hint="eastAsia"/>
          <w:sz w:val="32"/>
          <w:szCs w:val="32"/>
        </w:rPr>
        <w:t>1</w:t>
      </w:r>
      <w:r w:rsidR="00FB3C2F" w:rsidRPr="00FB3C2F">
        <w:rPr>
          <w:rFonts w:ascii="仿宋" w:eastAsia="仿宋" w:hAnsi="仿宋" w:hint="eastAsia"/>
          <w:sz w:val="32"/>
          <w:szCs w:val="32"/>
        </w:rPr>
        <w:t>个百分点。</w:t>
      </w:r>
    </w:p>
    <w:p w:rsidR="00FB3C2F" w:rsidRDefault="00FB3C2F" w:rsidP="00E224B1">
      <w:pPr>
        <w:ind w:firstLineChars="200" w:firstLine="640"/>
        <w:rPr>
          <w:rFonts w:ascii="仿宋" w:eastAsia="仿宋" w:hAnsi="仿宋"/>
          <w:sz w:val="32"/>
          <w:szCs w:val="32"/>
        </w:rPr>
      </w:pPr>
      <w:r w:rsidRPr="00970A53">
        <w:rPr>
          <w:rFonts w:ascii="仿宋" w:eastAsia="仿宋" w:hAnsi="仿宋" w:hint="eastAsia"/>
          <w:sz w:val="32"/>
          <w:szCs w:val="32"/>
        </w:rPr>
        <w:t>20</w:t>
      </w:r>
      <w:r w:rsidR="00970A53" w:rsidRPr="00970A53">
        <w:rPr>
          <w:rFonts w:ascii="仿宋" w:eastAsia="仿宋" w:hAnsi="仿宋" w:hint="eastAsia"/>
          <w:sz w:val="32"/>
          <w:szCs w:val="32"/>
        </w:rPr>
        <w:t>家财</w:t>
      </w:r>
      <w:proofErr w:type="gramStart"/>
      <w:r w:rsidR="00970A53" w:rsidRPr="00970A53">
        <w:rPr>
          <w:rFonts w:ascii="仿宋" w:eastAsia="仿宋" w:hAnsi="仿宋" w:hint="eastAsia"/>
          <w:sz w:val="32"/>
          <w:szCs w:val="32"/>
        </w:rPr>
        <w:t>险机构</w:t>
      </w:r>
      <w:proofErr w:type="gramEnd"/>
      <w:r w:rsidR="00970A53" w:rsidRPr="00970A53">
        <w:rPr>
          <w:rFonts w:ascii="仿宋" w:eastAsia="仿宋" w:hAnsi="仿宋" w:hint="eastAsia"/>
          <w:sz w:val="32"/>
          <w:szCs w:val="32"/>
        </w:rPr>
        <w:t>中:</w:t>
      </w:r>
      <w:r w:rsidR="00A93B98" w:rsidRPr="00970A53">
        <w:rPr>
          <w:rFonts w:ascii="仿宋" w:eastAsia="仿宋" w:hAnsi="仿宋" w:hint="eastAsia"/>
          <w:sz w:val="32"/>
          <w:szCs w:val="32"/>
        </w:rPr>
        <w:t>人保、太平洋、平安、中华联合、国寿财、华安、大家、永城、太平、英大等10</w:t>
      </w:r>
      <w:r w:rsidRPr="00970A53">
        <w:rPr>
          <w:rFonts w:ascii="仿宋" w:eastAsia="仿宋" w:hAnsi="仿宋" w:hint="eastAsia"/>
          <w:sz w:val="32"/>
          <w:szCs w:val="32"/>
        </w:rPr>
        <w:t>家公司车险</w:t>
      </w:r>
      <w:proofErr w:type="gramStart"/>
      <w:r w:rsidRPr="00970A53">
        <w:rPr>
          <w:rFonts w:ascii="仿宋" w:eastAsia="仿宋" w:hAnsi="仿宋" w:hint="eastAsia"/>
          <w:sz w:val="32"/>
          <w:szCs w:val="32"/>
        </w:rPr>
        <w:t>保费正</w:t>
      </w:r>
      <w:proofErr w:type="gramEnd"/>
      <w:r w:rsidRPr="00970A53">
        <w:rPr>
          <w:rFonts w:ascii="仿宋" w:eastAsia="仿宋" w:hAnsi="仿宋" w:hint="eastAsia"/>
          <w:sz w:val="32"/>
          <w:szCs w:val="32"/>
        </w:rPr>
        <w:t>增长，</w:t>
      </w:r>
      <w:r w:rsidR="00E224B1">
        <w:rPr>
          <w:rFonts w:ascii="仿宋" w:eastAsia="仿宋" w:hAnsi="仿宋" w:hint="eastAsia"/>
          <w:sz w:val="32"/>
          <w:szCs w:val="32"/>
        </w:rPr>
        <w:t>其余</w:t>
      </w:r>
      <w:r w:rsidR="00A93B98" w:rsidRPr="00970A53">
        <w:rPr>
          <w:rFonts w:ascii="仿宋" w:eastAsia="仿宋" w:hAnsi="仿宋" w:hint="eastAsia"/>
          <w:sz w:val="32"/>
          <w:szCs w:val="32"/>
        </w:rPr>
        <w:t>10</w:t>
      </w:r>
      <w:r w:rsidRPr="00970A53">
        <w:rPr>
          <w:rFonts w:ascii="仿宋" w:eastAsia="仿宋" w:hAnsi="仿宋" w:hint="eastAsia"/>
          <w:sz w:val="32"/>
          <w:szCs w:val="32"/>
        </w:rPr>
        <w:t>家财险公司车险业务出现负增长。</w:t>
      </w:r>
    </w:p>
    <w:p w:rsidR="00FB3C2F" w:rsidRDefault="00E224B1" w:rsidP="00FB3C2F">
      <w:pPr>
        <w:rPr>
          <w:rFonts w:ascii="仿宋" w:eastAsia="仿宋" w:hAnsi="仿宋"/>
          <w:sz w:val="32"/>
          <w:szCs w:val="32"/>
        </w:rPr>
      </w:pPr>
      <w:r>
        <w:rPr>
          <w:noProof/>
        </w:rPr>
        <w:drawing>
          <wp:inline distT="0" distB="0" distL="0" distR="0" wp14:anchorId="0475D5E5" wp14:editId="11DBB098">
            <wp:extent cx="5271715" cy="2584174"/>
            <wp:effectExtent l="0" t="0" r="24765" b="26035"/>
            <wp:docPr id="25" name="图表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52ADD" w:rsidRPr="0098537C" w:rsidRDefault="00890947" w:rsidP="0098537C">
      <w:pPr>
        <w:pStyle w:val="a3"/>
        <w:numPr>
          <w:ilvl w:val="0"/>
          <w:numId w:val="32"/>
        </w:numPr>
        <w:ind w:firstLineChars="0"/>
        <w:rPr>
          <w:rFonts w:ascii="仿宋" w:eastAsia="仿宋" w:hAnsi="仿宋"/>
          <w:sz w:val="32"/>
          <w:szCs w:val="32"/>
        </w:rPr>
      </w:pPr>
      <w:r w:rsidRPr="0098537C">
        <w:rPr>
          <w:rFonts w:ascii="仿宋" w:eastAsia="仿宋" w:hAnsi="仿宋" w:hint="eastAsia"/>
          <w:b/>
          <w:bCs/>
          <w:sz w:val="32"/>
          <w:szCs w:val="32"/>
        </w:rPr>
        <w:lastRenderedPageBreak/>
        <w:t>车辆使用性质情况</w:t>
      </w:r>
    </w:p>
    <w:p w:rsidR="005828B5" w:rsidRPr="0098537C" w:rsidRDefault="00A95388" w:rsidP="0098537C">
      <w:pPr>
        <w:ind w:firstLineChars="200" w:firstLine="643"/>
        <w:rPr>
          <w:rFonts w:ascii="仿宋" w:eastAsia="仿宋" w:hAnsi="仿宋"/>
          <w:bCs/>
          <w:sz w:val="32"/>
          <w:szCs w:val="32"/>
        </w:rPr>
      </w:pPr>
      <w:r w:rsidRPr="0098537C">
        <w:rPr>
          <w:rFonts w:ascii="仿宋" w:eastAsia="仿宋" w:hAnsi="仿宋" w:hint="eastAsia"/>
          <w:b/>
          <w:bCs/>
          <w:sz w:val="32"/>
          <w:szCs w:val="32"/>
        </w:rPr>
        <w:t>家庭自用车：</w:t>
      </w:r>
      <w:r w:rsidRPr="0098537C">
        <w:rPr>
          <w:rFonts w:ascii="仿宋" w:eastAsia="仿宋" w:hAnsi="仿宋" w:hint="eastAsia"/>
          <w:bCs/>
          <w:sz w:val="32"/>
          <w:szCs w:val="32"/>
        </w:rPr>
        <w:t>累计实现保费收入48477万元，增速-2.9 %，占整体车险份额68.38%；</w:t>
      </w:r>
    </w:p>
    <w:p w:rsidR="005828B5" w:rsidRPr="0098537C" w:rsidRDefault="00A95388" w:rsidP="0098537C">
      <w:pPr>
        <w:ind w:firstLineChars="200" w:firstLine="643"/>
        <w:rPr>
          <w:rFonts w:ascii="仿宋" w:eastAsia="仿宋" w:hAnsi="仿宋"/>
          <w:bCs/>
          <w:sz w:val="32"/>
          <w:szCs w:val="32"/>
        </w:rPr>
      </w:pPr>
      <w:r w:rsidRPr="0098537C">
        <w:rPr>
          <w:rFonts w:ascii="仿宋" w:eastAsia="仿宋" w:hAnsi="仿宋" w:hint="eastAsia"/>
          <w:b/>
          <w:bCs/>
          <w:sz w:val="32"/>
          <w:szCs w:val="32"/>
        </w:rPr>
        <w:t>非营业客车：</w:t>
      </w:r>
      <w:r w:rsidRPr="0098537C">
        <w:rPr>
          <w:rFonts w:ascii="仿宋" w:eastAsia="仿宋" w:hAnsi="仿宋" w:hint="eastAsia"/>
          <w:bCs/>
          <w:sz w:val="32"/>
          <w:szCs w:val="32"/>
        </w:rPr>
        <w:t>累计实现保费4685万元，增速-6.4%，占整体车险份额6.61%；</w:t>
      </w:r>
    </w:p>
    <w:p w:rsidR="005828B5" w:rsidRPr="0098537C" w:rsidRDefault="00A95388" w:rsidP="0098537C">
      <w:pPr>
        <w:ind w:firstLineChars="200" w:firstLine="643"/>
        <w:rPr>
          <w:rFonts w:ascii="仿宋" w:eastAsia="仿宋" w:hAnsi="仿宋"/>
          <w:bCs/>
          <w:sz w:val="32"/>
          <w:szCs w:val="32"/>
        </w:rPr>
      </w:pPr>
      <w:r w:rsidRPr="0098537C">
        <w:rPr>
          <w:rFonts w:ascii="仿宋" w:eastAsia="仿宋" w:hAnsi="仿宋" w:hint="eastAsia"/>
          <w:b/>
          <w:bCs/>
          <w:sz w:val="32"/>
          <w:szCs w:val="32"/>
        </w:rPr>
        <w:t>营业客车：</w:t>
      </w:r>
      <w:r w:rsidRPr="0098537C">
        <w:rPr>
          <w:rFonts w:ascii="仿宋" w:eastAsia="仿宋" w:hAnsi="仿宋" w:hint="eastAsia"/>
          <w:bCs/>
          <w:sz w:val="32"/>
          <w:szCs w:val="32"/>
        </w:rPr>
        <w:t>累计实现保费2574万元，增速-12.23%，占整体车险份额3.63%；</w:t>
      </w:r>
    </w:p>
    <w:p w:rsidR="005828B5" w:rsidRPr="0098537C" w:rsidRDefault="00A95388" w:rsidP="0098537C">
      <w:pPr>
        <w:ind w:firstLineChars="200" w:firstLine="643"/>
        <w:rPr>
          <w:rFonts w:ascii="仿宋" w:eastAsia="仿宋" w:hAnsi="仿宋"/>
          <w:bCs/>
          <w:sz w:val="32"/>
          <w:szCs w:val="32"/>
        </w:rPr>
      </w:pPr>
      <w:r w:rsidRPr="0098537C">
        <w:rPr>
          <w:rFonts w:ascii="仿宋" w:eastAsia="仿宋" w:hAnsi="仿宋" w:hint="eastAsia"/>
          <w:b/>
          <w:bCs/>
          <w:sz w:val="32"/>
          <w:szCs w:val="32"/>
        </w:rPr>
        <w:t>非营业货车：</w:t>
      </w:r>
      <w:r w:rsidRPr="0098537C">
        <w:rPr>
          <w:rFonts w:ascii="仿宋" w:eastAsia="仿宋" w:hAnsi="仿宋" w:hint="eastAsia"/>
          <w:bCs/>
          <w:sz w:val="32"/>
          <w:szCs w:val="32"/>
        </w:rPr>
        <w:t>累计实现保费6476万元，增速-4.46%，占整体车险份额9.13%；</w:t>
      </w:r>
    </w:p>
    <w:p w:rsidR="005828B5" w:rsidRPr="0098537C" w:rsidRDefault="00A95388" w:rsidP="0098537C">
      <w:pPr>
        <w:ind w:firstLineChars="200" w:firstLine="643"/>
        <w:rPr>
          <w:rFonts w:ascii="仿宋" w:eastAsia="仿宋" w:hAnsi="仿宋"/>
          <w:bCs/>
          <w:sz w:val="32"/>
          <w:szCs w:val="32"/>
        </w:rPr>
      </w:pPr>
      <w:r w:rsidRPr="0098537C">
        <w:rPr>
          <w:rFonts w:ascii="仿宋" w:eastAsia="仿宋" w:hAnsi="仿宋" w:hint="eastAsia"/>
          <w:b/>
          <w:bCs/>
          <w:sz w:val="32"/>
          <w:szCs w:val="32"/>
        </w:rPr>
        <w:t>营业货车：</w:t>
      </w:r>
      <w:r w:rsidRPr="0098537C">
        <w:rPr>
          <w:rFonts w:ascii="仿宋" w:eastAsia="仿宋" w:hAnsi="仿宋" w:hint="eastAsia"/>
          <w:bCs/>
          <w:sz w:val="32"/>
          <w:szCs w:val="32"/>
        </w:rPr>
        <w:t>累计实现保费9111万元，增速15.02%，占整体车险份额12.85%；</w:t>
      </w:r>
    </w:p>
    <w:p w:rsidR="005828B5" w:rsidRPr="0098537C" w:rsidRDefault="00A95388" w:rsidP="0098537C">
      <w:pPr>
        <w:ind w:firstLineChars="200" w:firstLine="643"/>
        <w:rPr>
          <w:rFonts w:ascii="仿宋" w:eastAsia="仿宋" w:hAnsi="仿宋"/>
          <w:bCs/>
          <w:sz w:val="32"/>
          <w:szCs w:val="32"/>
        </w:rPr>
      </w:pPr>
      <w:r w:rsidRPr="0098537C">
        <w:rPr>
          <w:rFonts w:ascii="仿宋" w:eastAsia="仿宋" w:hAnsi="仿宋" w:hint="eastAsia"/>
          <w:b/>
          <w:bCs/>
          <w:sz w:val="32"/>
          <w:szCs w:val="32"/>
        </w:rPr>
        <w:t>特种车：</w:t>
      </w:r>
      <w:r w:rsidRPr="0098537C">
        <w:rPr>
          <w:rFonts w:ascii="仿宋" w:eastAsia="仿宋" w:hAnsi="仿宋" w:hint="eastAsia"/>
          <w:bCs/>
          <w:sz w:val="32"/>
          <w:szCs w:val="32"/>
        </w:rPr>
        <w:t>累计实现保费245万元，降幅22.68%，占整体车险份额0.35%。</w:t>
      </w:r>
    </w:p>
    <w:p w:rsidR="006D3EC1" w:rsidRDefault="0098537C" w:rsidP="0098537C">
      <w:pPr>
        <w:ind w:leftChars="-202" w:left="-424" w:rightChars="-162" w:right="-340"/>
        <w:rPr>
          <w:rFonts w:ascii="仿宋" w:eastAsia="仿宋" w:hAnsi="仿宋"/>
          <w:sz w:val="32"/>
          <w:szCs w:val="32"/>
        </w:rPr>
      </w:pPr>
      <w:r w:rsidRPr="0098537C">
        <w:rPr>
          <w:rFonts w:ascii="仿宋" w:eastAsia="仿宋" w:hAnsi="仿宋"/>
          <w:noProof/>
          <w:sz w:val="32"/>
          <w:szCs w:val="32"/>
        </w:rPr>
        <w:drawing>
          <wp:inline distT="0" distB="0" distL="0" distR="0" wp14:anchorId="7EFD8614" wp14:editId="5F0DBC14">
            <wp:extent cx="2751152" cy="2520563"/>
            <wp:effectExtent l="0" t="0" r="11430" b="13335"/>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98537C">
        <w:rPr>
          <w:rFonts w:ascii="仿宋" w:eastAsia="仿宋" w:hAnsi="仿宋"/>
          <w:noProof/>
          <w:sz w:val="32"/>
          <w:szCs w:val="32"/>
        </w:rPr>
        <w:drawing>
          <wp:inline distT="0" distB="0" distL="0" distR="0" wp14:anchorId="7A1C0CCD" wp14:editId="21241115">
            <wp:extent cx="2902226" cy="2520563"/>
            <wp:effectExtent l="0" t="0" r="12700" b="13335"/>
            <wp:docPr id="18" name="图表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8537C" w:rsidRPr="001F45CB" w:rsidRDefault="0098537C" w:rsidP="001F45CB">
      <w:pPr>
        <w:ind w:firstLineChars="200" w:firstLine="640"/>
        <w:rPr>
          <w:rFonts w:ascii="仿宋" w:eastAsia="仿宋" w:hAnsi="仿宋"/>
          <w:bCs/>
          <w:sz w:val="32"/>
          <w:szCs w:val="32"/>
        </w:rPr>
      </w:pPr>
      <w:r w:rsidRPr="001F45CB">
        <w:rPr>
          <w:rFonts w:ascii="仿宋" w:eastAsia="仿宋" w:hAnsi="仿宋" w:hint="eastAsia"/>
          <w:bCs/>
          <w:sz w:val="32"/>
          <w:szCs w:val="32"/>
        </w:rPr>
        <w:t>从份额情况看，家自车仍然是支撑车险主要险种；从增速情况看，除营业货车</w:t>
      </w:r>
      <w:proofErr w:type="gramStart"/>
      <w:r w:rsidRPr="001F45CB">
        <w:rPr>
          <w:rFonts w:ascii="仿宋" w:eastAsia="仿宋" w:hAnsi="仿宋" w:hint="eastAsia"/>
          <w:bCs/>
          <w:sz w:val="32"/>
          <w:szCs w:val="32"/>
        </w:rPr>
        <w:t>保费正</w:t>
      </w:r>
      <w:proofErr w:type="gramEnd"/>
      <w:r w:rsidRPr="001F45CB">
        <w:rPr>
          <w:rFonts w:ascii="仿宋" w:eastAsia="仿宋" w:hAnsi="仿宋" w:hint="eastAsia"/>
          <w:bCs/>
          <w:sz w:val="32"/>
          <w:szCs w:val="32"/>
        </w:rPr>
        <w:t>增长外，其余车型保费均呈负增长态势。</w:t>
      </w:r>
    </w:p>
    <w:p w:rsidR="00B52ADD" w:rsidRPr="00935600" w:rsidRDefault="00905CAC" w:rsidP="0098537C">
      <w:pPr>
        <w:ind w:firstLineChars="200" w:firstLine="643"/>
        <w:rPr>
          <w:rFonts w:ascii="仿宋" w:eastAsia="仿宋" w:hAnsi="仿宋"/>
          <w:sz w:val="32"/>
          <w:szCs w:val="32"/>
        </w:rPr>
      </w:pPr>
      <w:r w:rsidRPr="00935600">
        <w:rPr>
          <w:rFonts w:ascii="仿宋" w:eastAsia="仿宋" w:hAnsi="仿宋" w:hint="eastAsia"/>
          <w:b/>
          <w:bCs/>
          <w:sz w:val="32"/>
          <w:szCs w:val="32"/>
        </w:rPr>
        <w:lastRenderedPageBreak/>
        <w:t>4、</w:t>
      </w:r>
      <w:r w:rsidR="00890947" w:rsidRPr="00935600">
        <w:rPr>
          <w:rFonts w:ascii="仿宋" w:eastAsia="仿宋" w:hAnsi="仿宋" w:hint="eastAsia"/>
          <w:b/>
          <w:bCs/>
          <w:sz w:val="32"/>
          <w:szCs w:val="32"/>
        </w:rPr>
        <w:t>县域车险情</w:t>
      </w:r>
      <w:proofErr w:type="gramStart"/>
      <w:r w:rsidR="00890947" w:rsidRPr="00935600">
        <w:rPr>
          <w:rFonts w:ascii="仿宋" w:eastAsia="仿宋" w:hAnsi="仿宋" w:hint="eastAsia"/>
          <w:b/>
          <w:bCs/>
          <w:sz w:val="32"/>
          <w:szCs w:val="32"/>
        </w:rPr>
        <w:t>况</w:t>
      </w:r>
      <w:proofErr w:type="gramEnd"/>
    </w:p>
    <w:p w:rsidR="006D3EC1" w:rsidRPr="00935600" w:rsidRDefault="006D3EC1" w:rsidP="006D3EC1">
      <w:pPr>
        <w:rPr>
          <w:rFonts w:ascii="仿宋" w:eastAsia="仿宋" w:hAnsi="仿宋"/>
          <w:sz w:val="32"/>
          <w:szCs w:val="32"/>
        </w:rPr>
      </w:pPr>
      <w:r w:rsidRPr="00935600">
        <w:rPr>
          <w:rFonts w:ascii="仿宋" w:eastAsia="仿宋" w:hAnsi="仿宋" w:hint="eastAsia"/>
          <w:sz w:val="32"/>
          <w:szCs w:val="32"/>
        </w:rPr>
        <w:t xml:space="preserve">    </w:t>
      </w:r>
      <w:r w:rsidR="00045FB2" w:rsidRPr="00935600">
        <w:rPr>
          <w:rFonts w:ascii="仿宋" w:eastAsia="仿宋" w:hAnsi="仿宋" w:hint="eastAsia"/>
          <w:sz w:val="32"/>
          <w:szCs w:val="32"/>
        </w:rPr>
        <w:t>1-9月</w:t>
      </w:r>
      <w:r w:rsidRPr="00935600">
        <w:rPr>
          <w:rFonts w:ascii="仿宋" w:eastAsia="仿宋" w:hAnsi="仿宋" w:hint="eastAsia"/>
          <w:sz w:val="32"/>
          <w:szCs w:val="32"/>
        </w:rPr>
        <w:t>，县域车险累计实现保费收入</w:t>
      </w:r>
      <w:r w:rsidR="00325A8E" w:rsidRPr="00935600">
        <w:rPr>
          <w:rFonts w:ascii="仿宋" w:eastAsia="仿宋" w:hAnsi="仿宋" w:hint="eastAsia"/>
          <w:sz w:val="32"/>
          <w:szCs w:val="32"/>
        </w:rPr>
        <w:t>36283</w:t>
      </w:r>
      <w:r w:rsidRPr="00935600">
        <w:rPr>
          <w:rFonts w:ascii="仿宋" w:eastAsia="仿宋" w:hAnsi="仿宋" w:hint="eastAsia"/>
          <w:sz w:val="32"/>
          <w:szCs w:val="32"/>
        </w:rPr>
        <w:t>万元，增速</w:t>
      </w:r>
      <w:r w:rsidR="00325A8E" w:rsidRPr="00935600">
        <w:rPr>
          <w:rFonts w:ascii="仿宋" w:eastAsia="仿宋" w:hAnsi="仿宋" w:hint="eastAsia"/>
          <w:sz w:val="32"/>
          <w:szCs w:val="32"/>
        </w:rPr>
        <w:t>0.01</w:t>
      </w:r>
      <w:r w:rsidRPr="00935600">
        <w:rPr>
          <w:rFonts w:ascii="仿宋" w:eastAsia="仿宋" w:hAnsi="仿宋" w:hint="eastAsia"/>
          <w:sz w:val="32"/>
          <w:szCs w:val="32"/>
        </w:rPr>
        <w:t>%，同比下降</w:t>
      </w:r>
      <w:r w:rsidR="00325A8E" w:rsidRPr="00935600">
        <w:rPr>
          <w:rFonts w:ascii="仿宋" w:eastAsia="仿宋" w:hAnsi="仿宋" w:hint="eastAsia"/>
          <w:sz w:val="32"/>
          <w:szCs w:val="32"/>
        </w:rPr>
        <w:t>10.67</w:t>
      </w:r>
      <w:r w:rsidRPr="00935600">
        <w:rPr>
          <w:rFonts w:ascii="仿宋" w:eastAsia="仿宋" w:hAnsi="仿宋" w:hint="eastAsia"/>
          <w:sz w:val="32"/>
          <w:szCs w:val="32"/>
        </w:rPr>
        <w:t>个百分点。县域车险保费占县域保费份额</w:t>
      </w:r>
      <w:r w:rsidR="00325A8E" w:rsidRPr="00935600">
        <w:rPr>
          <w:rFonts w:ascii="仿宋" w:eastAsia="仿宋" w:hAnsi="仿宋" w:hint="eastAsia"/>
          <w:sz w:val="32"/>
          <w:szCs w:val="32"/>
        </w:rPr>
        <w:t>58.74</w:t>
      </w:r>
      <w:r w:rsidRPr="00935600">
        <w:rPr>
          <w:rFonts w:ascii="仿宋" w:eastAsia="仿宋" w:hAnsi="仿宋" w:hint="eastAsia"/>
          <w:sz w:val="32"/>
          <w:szCs w:val="32"/>
        </w:rPr>
        <w:t>%，同比下降</w:t>
      </w:r>
      <w:r w:rsidR="00325A8E" w:rsidRPr="00935600">
        <w:rPr>
          <w:rFonts w:ascii="仿宋" w:eastAsia="仿宋" w:hAnsi="仿宋" w:hint="eastAsia"/>
          <w:sz w:val="32"/>
          <w:szCs w:val="32"/>
        </w:rPr>
        <w:t>6.72</w:t>
      </w:r>
      <w:r w:rsidRPr="00935600">
        <w:rPr>
          <w:rFonts w:ascii="仿宋" w:eastAsia="仿宋" w:hAnsi="仿宋" w:hint="eastAsia"/>
          <w:sz w:val="32"/>
          <w:szCs w:val="32"/>
        </w:rPr>
        <w:t>个百分点。其中：</w:t>
      </w:r>
    </w:p>
    <w:p w:rsidR="00B52ADD" w:rsidRPr="00935600" w:rsidRDefault="00890947" w:rsidP="006D3EC1">
      <w:pPr>
        <w:ind w:firstLineChars="200" w:firstLine="643"/>
        <w:rPr>
          <w:rFonts w:ascii="仿宋" w:eastAsia="仿宋" w:hAnsi="仿宋"/>
          <w:sz w:val="32"/>
          <w:szCs w:val="32"/>
        </w:rPr>
      </w:pPr>
      <w:r w:rsidRPr="00935600">
        <w:rPr>
          <w:rFonts w:ascii="仿宋" w:eastAsia="仿宋" w:hAnsi="仿宋" w:hint="eastAsia"/>
          <w:b/>
          <w:bCs/>
          <w:sz w:val="32"/>
          <w:szCs w:val="32"/>
        </w:rPr>
        <w:t>东港：</w:t>
      </w:r>
      <w:r w:rsidRPr="00935600">
        <w:rPr>
          <w:rFonts w:ascii="仿宋" w:eastAsia="仿宋" w:hAnsi="仿宋" w:hint="eastAsia"/>
          <w:sz w:val="32"/>
          <w:szCs w:val="32"/>
        </w:rPr>
        <w:t>车险保费</w:t>
      </w:r>
      <w:r w:rsidR="00325A8E" w:rsidRPr="00935600">
        <w:rPr>
          <w:rFonts w:ascii="仿宋" w:eastAsia="仿宋" w:hAnsi="仿宋" w:hint="eastAsia"/>
          <w:sz w:val="32"/>
          <w:szCs w:val="32"/>
        </w:rPr>
        <w:t>19746</w:t>
      </w:r>
      <w:r w:rsidRPr="00935600">
        <w:rPr>
          <w:rFonts w:ascii="仿宋" w:eastAsia="仿宋" w:hAnsi="仿宋" w:hint="eastAsia"/>
          <w:sz w:val="32"/>
          <w:szCs w:val="32"/>
        </w:rPr>
        <w:t>万元，占当地财险市场份额</w:t>
      </w:r>
      <w:r w:rsidR="00325A8E" w:rsidRPr="00935600">
        <w:rPr>
          <w:rFonts w:ascii="仿宋" w:eastAsia="仿宋" w:hAnsi="仿宋" w:hint="eastAsia"/>
          <w:sz w:val="32"/>
          <w:szCs w:val="32"/>
        </w:rPr>
        <w:t>59.19</w:t>
      </w:r>
      <w:r w:rsidRPr="00935600">
        <w:rPr>
          <w:rFonts w:ascii="仿宋" w:eastAsia="仿宋" w:hAnsi="仿宋" w:hint="eastAsia"/>
          <w:sz w:val="32"/>
          <w:szCs w:val="32"/>
        </w:rPr>
        <w:t>%，同比下降</w:t>
      </w:r>
      <w:r w:rsidR="00935600" w:rsidRPr="00935600">
        <w:rPr>
          <w:rFonts w:ascii="仿宋" w:eastAsia="仿宋" w:hAnsi="仿宋" w:hint="eastAsia"/>
          <w:sz w:val="32"/>
          <w:szCs w:val="32"/>
        </w:rPr>
        <w:t>5.3</w:t>
      </w:r>
      <w:r w:rsidRPr="00935600">
        <w:rPr>
          <w:rFonts w:ascii="仿宋" w:eastAsia="仿宋" w:hAnsi="仿宋" w:hint="eastAsia"/>
          <w:sz w:val="32"/>
          <w:szCs w:val="32"/>
        </w:rPr>
        <w:t>个百分点；东港车险增速</w:t>
      </w:r>
      <w:r w:rsidR="00935600" w:rsidRPr="00935600">
        <w:rPr>
          <w:rFonts w:ascii="仿宋" w:eastAsia="仿宋" w:hAnsi="仿宋" w:hint="eastAsia"/>
          <w:sz w:val="32"/>
          <w:szCs w:val="32"/>
        </w:rPr>
        <w:t>2.34</w:t>
      </w:r>
      <w:r w:rsidRPr="00935600">
        <w:rPr>
          <w:rFonts w:ascii="仿宋" w:eastAsia="仿宋" w:hAnsi="仿宋" w:hint="eastAsia"/>
          <w:sz w:val="32"/>
          <w:szCs w:val="32"/>
        </w:rPr>
        <w:t>%，同比下降</w:t>
      </w:r>
      <w:r w:rsidR="00935600" w:rsidRPr="00935600">
        <w:rPr>
          <w:rFonts w:ascii="仿宋" w:eastAsia="仿宋" w:hAnsi="仿宋" w:hint="eastAsia"/>
          <w:sz w:val="32"/>
          <w:szCs w:val="32"/>
        </w:rPr>
        <w:t>12.89</w:t>
      </w:r>
      <w:r w:rsidRPr="00935600">
        <w:rPr>
          <w:rFonts w:ascii="仿宋" w:eastAsia="仿宋" w:hAnsi="仿宋" w:hint="eastAsia"/>
          <w:sz w:val="32"/>
          <w:szCs w:val="32"/>
        </w:rPr>
        <w:t>个百分点；</w:t>
      </w:r>
    </w:p>
    <w:p w:rsidR="00B52ADD" w:rsidRPr="00935600" w:rsidRDefault="00890947" w:rsidP="006D3EC1">
      <w:pPr>
        <w:ind w:firstLineChars="200" w:firstLine="643"/>
        <w:rPr>
          <w:rFonts w:ascii="仿宋" w:eastAsia="仿宋" w:hAnsi="仿宋"/>
          <w:sz w:val="32"/>
          <w:szCs w:val="32"/>
        </w:rPr>
      </w:pPr>
      <w:r w:rsidRPr="00935600">
        <w:rPr>
          <w:rFonts w:ascii="仿宋" w:eastAsia="仿宋" w:hAnsi="仿宋" w:hint="eastAsia"/>
          <w:b/>
          <w:bCs/>
          <w:sz w:val="32"/>
          <w:szCs w:val="32"/>
        </w:rPr>
        <w:t>凤城：</w:t>
      </w:r>
      <w:r w:rsidRPr="00935600">
        <w:rPr>
          <w:rFonts w:ascii="仿宋" w:eastAsia="仿宋" w:hAnsi="仿宋" w:hint="eastAsia"/>
          <w:sz w:val="32"/>
          <w:szCs w:val="32"/>
        </w:rPr>
        <w:t>车险保费</w:t>
      </w:r>
      <w:r w:rsidR="00935600" w:rsidRPr="00935600">
        <w:rPr>
          <w:rFonts w:ascii="仿宋" w:eastAsia="仿宋" w:hAnsi="仿宋" w:hint="eastAsia"/>
          <w:sz w:val="32"/>
          <w:szCs w:val="32"/>
        </w:rPr>
        <w:t>9627</w:t>
      </w:r>
      <w:r w:rsidRPr="00935600">
        <w:rPr>
          <w:rFonts w:ascii="仿宋" w:eastAsia="仿宋" w:hAnsi="仿宋" w:hint="eastAsia"/>
          <w:sz w:val="32"/>
          <w:szCs w:val="32"/>
        </w:rPr>
        <w:t>万元，占当地市场份额</w:t>
      </w:r>
      <w:r w:rsidR="00935600" w:rsidRPr="00935600">
        <w:rPr>
          <w:rFonts w:ascii="仿宋" w:eastAsia="仿宋" w:hAnsi="仿宋" w:hint="eastAsia"/>
          <w:sz w:val="32"/>
          <w:szCs w:val="32"/>
        </w:rPr>
        <w:t>58.18</w:t>
      </w:r>
      <w:r w:rsidRPr="00935600">
        <w:rPr>
          <w:rFonts w:ascii="仿宋" w:eastAsia="仿宋" w:hAnsi="仿宋" w:hint="eastAsia"/>
          <w:sz w:val="32"/>
          <w:szCs w:val="32"/>
        </w:rPr>
        <w:t>%，同比下降</w:t>
      </w:r>
      <w:r w:rsidR="00935600" w:rsidRPr="00935600">
        <w:rPr>
          <w:rFonts w:ascii="仿宋" w:eastAsia="仿宋" w:hAnsi="仿宋" w:hint="eastAsia"/>
          <w:sz w:val="32"/>
          <w:szCs w:val="32"/>
        </w:rPr>
        <w:t>9.16</w:t>
      </w:r>
      <w:r w:rsidRPr="00935600">
        <w:rPr>
          <w:rFonts w:ascii="仿宋" w:eastAsia="仿宋" w:hAnsi="仿宋" w:hint="eastAsia"/>
          <w:sz w:val="32"/>
          <w:szCs w:val="32"/>
        </w:rPr>
        <w:t>个百分点；凤城车险增速</w:t>
      </w:r>
      <w:r w:rsidR="00935600" w:rsidRPr="00935600">
        <w:rPr>
          <w:rFonts w:ascii="仿宋" w:eastAsia="仿宋" w:hAnsi="仿宋" w:hint="eastAsia"/>
          <w:sz w:val="32"/>
          <w:szCs w:val="32"/>
        </w:rPr>
        <w:t>-4.52</w:t>
      </w:r>
      <w:r w:rsidRPr="00935600">
        <w:rPr>
          <w:rFonts w:ascii="仿宋" w:eastAsia="仿宋" w:hAnsi="仿宋" w:hint="eastAsia"/>
          <w:sz w:val="32"/>
          <w:szCs w:val="32"/>
        </w:rPr>
        <w:t>%，同比下降</w:t>
      </w:r>
      <w:r w:rsidR="00935600" w:rsidRPr="00935600">
        <w:rPr>
          <w:rFonts w:ascii="仿宋" w:eastAsia="仿宋" w:hAnsi="仿宋" w:hint="eastAsia"/>
          <w:sz w:val="32"/>
          <w:szCs w:val="32"/>
        </w:rPr>
        <w:t>7.55</w:t>
      </w:r>
      <w:r w:rsidRPr="00935600">
        <w:rPr>
          <w:rFonts w:ascii="仿宋" w:eastAsia="仿宋" w:hAnsi="仿宋" w:hint="eastAsia"/>
          <w:sz w:val="32"/>
          <w:szCs w:val="32"/>
        </w:rPr>
        <w:t>个百分点；</w:t>
      </w:r>
    </w:p>
    <w:p w:rsidR="00B52ADD" w:rsidRPr="00935600" w:rsidRDefault="00890947" w:rsidP="006D3EC1">
      <w:pPr>
        <w:ind w:firstLineChars="200" w:firstLine="643"/>
        <w:rPr>
          <w:rFonts w:ascii="仿宋" w:eastAsia="仿宋" w:hAnsi="仿宋"/>
          <w:sz w:val="32"/>
          <w:szCs w:val="32"/>
        </w:rPr>
      </w:pPr>
      <w:r w:rsidRPr="00935600">
        <w:rPr>
          <w:rFonts w:ascii="仿宋" w:eastAsia="仿宋" w:hAnsi="仿宋" w:hint="eastAsia"/>
          <w:b/>
          <w:bCs/>
          <w:sz w:val="32"/>
          <w:szCs w:val="32"/>
        </w:rPr>
        <w:t>宽甸：</w:t>
      </w:r>
      <w:r w:rsidRPr="00935600">
        <w:rPr>
          <w:rFonts w:ascii="仿宋" w:eastAsia="仿宋" w:hAnsi="仿宋" w:hint="eastAsia"/>
          <w:sz w:val="32"/>
          <w:szCs w:val="32"/>
        </w:rPr>
        <w:t>车险保费</w:t>
      </w:r>
      <w:r w:rsidR="00935600" w:rsidRPr="00935600">
        <w:rPr>
          <w:rFonts w:ascii="仿宋" w:eastAsia="仿宋" w:hAnsi="仿宋" w:hint="eastAsia"/>
          <w:sz w:val="32"/>
          <w:szCs w:val="32"/>
        </w:rPr>
        <w:t>6909</w:t>
      </w:r>
      <w:r w:rsidRPr="00935600">
        <w:rPr>
          <w:rFonts w:ascii="仿宋" w:eastAsia="仿宋" w:hAnsi="仿宋" w:hint="eastAsia"/>
          <w:sz w:val="32"/>
          <w:szCs w:val="32"/>
        </w:rPr>
        <w:t>万元，占当地财险市场份额</w:t>
      </w:r>
      <w:r w:rsidR="00935600" w:rsidRPr="00935600">
        <w:rPr>
          <w:rFonts w:ascii="仿宋" w:eastAsia="仿宋" w:hAnsi="仿宋" w:hint="eastAsia"/>
          <w:sz w:val="32"/>
          <w:szCs w:val="32"/>
        </w:rPr>
        <w:t>58.23</w:t>
      </w:r>
      <w:r w:rsidRPr="00935600">
        <w:rPr>
          <w:rFonts w:ascii="仿宋" w:eastAsia="仿宋" w:hAnsi="仿宋" w:hint="eastAsia"/>
          <w:sz w:val="32"/>
          <w:szCs w:val="32"/>
        </w:rPr>
        <w:t>%，同比下降</w:t>
      </w:r>
      <w:r w:rsidR="00935600" w:rsidRPr="00935600">
        <w:rPr>
          <w:rFonts w:ascii="仿宋" w:eastAsia="仿宋" w:hAnsi="仿宋" w:hint="eastAsia"/>
          <w:sz w:val="32"/>
          <w:szCs w:val="32"/>
        </w:rPr>
        <w:t>7.29</w:t>
      </w:r>
      <w:r w:rsidRPr="00935600">
        <w:rPr>
          <w:rFonts w:ascii="仿宋" w:eastAsia="仿宋" w:hAnsi="仿宋" w:hint="eastAsia"/>
          <w:sz w:val="32"/>
          <w:szCs w:val="32"/>
        </w:rPr>
        <w:t>个百分点；宽甸车险增速</w:t>
      </w:r>
      <w:r w:rsidR="00935600" w:rsidRPr="00935600">
        <w:rPr>
          <w:rFonts w:ascii="仿宋" w:eastAsia="仿宋" w:hAnsi="仿宋" w:hint="eastAsia"/>
          <w:sz w:val="32"/>
          <w:szCs w:val="32"/>
        </w:rPr>
        <w:t>0.1</w:t>
      </w:r>
      <w:r w:rsidRPr="00935600">
        <w:rPr>
          <w:rFonts w:ascii="仿宋" w:eastAsia="仿宋" w:hAnsi="仿宋" w:hint="eastAsia"/>
          <w:sz w:val="32"/>
          <w:szCs w:val="32"/>
        </w:rPr>
        <w:t>%，同比下降</w:t>
      </w:r>
      <w:r w:rsidR="00935600" w:rsidRPr="00935600">
        <w:rPr>
          <w:rFonts w:ascii="仿宋" w:eastAsia="仿宋" w:hAnsi="仿宋" w:hint="eastAsia"/>
          <w:sz w:val="32"/>
          <w:szCs w:val="32"/>
        </w:rPr>
        <w:t>10.4</w:t>
      </w:r>
      <w:r w:rsidRPr="00935600">
        <w:rPr>
          <w:rFonts w:ascii="仿宋" w:eastAsia="仿宋" w:hAnsi="仿宋" w:hint="eastAsia"/>
          <w:sz w:val="32"/>
          <w:szCs w:val="32"/>
        </w:rPr>
        <w:t>个百分点。</w:t>
      </w:r>
    </w:p>
    <w:p w:rsidR="00B52ADD" w:rsidRPr="006D3EC1" w:rsidRDefault="00890947" w:rsidP="006D3EC1">
      <w:pPr>
        <w:ind w:firstLineChars="200" w:firstLine="640"/>
        <w:rPr>
          <w:rFonts w:ascii="仿宋" w:eastAsia="仿宋" w:hAnsi="仿宋"/>
          <w:sz w:val="32"/>
          <w:szCs w:val="32"/>
        </w:rPr>
      </w:pPr>
      <w:r w:rsidRPr="00935600">
        <w:rPr>
          <w:rFonts w:ascii="仿宋" w:eastAsia="仿宋" w:hAnsi="仿宋" w:hint="eastAsia"/>
          <w:sz w:val="32"/>
          <w:szCs w:val="32"/>
        </w:rPr>
        <w:t>从三县车险发展情况看：</w:t>
      </w:r>
      <w:r w:rsidR="00045FB2" w:rsidRPr="00935600">
        <w:rPr>
          <w:rFonts w:ascii="仿宋" w:eastAsia="仿宋" w:hAnsi="仿宋" w:hint="eastAsia"/>
          <w:sz w:val="32"/>
          <w:szCs w:val="32"/>
        </w:rPr>
        <w:t>1-9月</w:t>
      </w:r>
      <w:r w:rsidRPr="00935600">
        <w:rPr>
          <w:rFonts w:ascii="仿宋" w:eastAsia="仿宋" w:hAnsi="仿宋" w:hint="eastAsia"/>
          <w:sz w:val="32"/>
          <w:szCs w:val="32"/>
        </w:rPr>
        <w:t>，受疫情及异地返税政策影响，东港、凤城、宽甸三个县域均呈现份额下降，增速下滑</w:t>
      </w:r>
      <w:r w:rsidR="00664C50">
        <w:rPr>
          <w:rFonts w:ascii="仿宋" w:eastAsia="仿宋" w:hAnsi="仿宋" w:hint="eastAsia"/>
          <w:sz w:val="32"/>
          <w:szCs w:val="32"/>
        </w:rPr>
        <w:t>态势</w:t>
      </w:r>
      <w:r w:rsidRPr="00935600">
        <w:rPr>
          <w:rFonts w:ascii="仿宋" w:eastAsia="仿宋" w:hAnsi="仿宋" w:hint="eastAsia"/>
          <w:sz w:val="32"/>
          <w:szCs w:val="32"/>
        </w:rPr>
        <w:t>。</w:t>
      </w:r>
    </w:p>
    <w:p w:rsidR="006D3EC1" w:rsidRPr="006D3EC1" w:rsidRDefault="006D3EC1" w:rsidP="006D3EC1">
      <w:pPr>
        <w:ind w:firstLineChars="200" w:firstLine="643"/>
        <w:rPr>
          <w:rFonts w:ascii="仿宋" w:eastAsia="仿宋" w:hAnsi="仿宋"/>
          <w:sz w:val="32"/>
          <w:szCs w:val="32"/>
        </w:rPr>
      </w:pPr>
      <w:r>
        <w:rPr>
          <w:rFonts w:ascii="仿宋" w:eastAsia="仿宋" w:hAnsi="仿宋" w:hint="eastAsia"/>
          <w:b/>
          <w:bCs/>
          <w:sz w:val="32"/>
          <w:szCs w:val="32"/>
        </w:rPr>
        <w:t>（四）</w:t>
      </w:r>
      <w:r w:rsidRPr="006D3EC1">
        <w:rPr>
          <w:rFonts w:ascii="仿宋" w:eastAsia="仿宋" w:hAnsi="仿宋" w:hint="eastAsia"/>
          <w:b/>
          <w:bCs/>
          <w:sz w:val="32"/>
          <w:szCs w:val="32"/>
        </w:rPr>
        <w:t>农险市场情况</w:t>
      </w:r>
    </w:p>
    <w:p w:rsidR="006D3EC1" w:rsidRPr="006D3EC1" w:rsidRDefault="00045FB2" w:rsidP="006D3EC1">
      <w:pPr>
        <w:ind w:firstLineChars="200" w:firstLine="640"/>
        <w:rPr>
          <w:rFonts w:ascii="仿宋" w:eastAsia="仿宋" w:hAnsi="仿宋"/>
          <w:sz w:val="32"/>
          <w:szCs w:val="32"/>
        </w:rPr>
      </w:pPr>
      <w:r>
        <w:rPr>
          <w:rFonts w:ascii="仿宋" w:eastAsia="仿宋" w:hAnsi="仿宋" w:hint="eastAsia"/>
          <w:sz w:val="32"/>
          <w:szCs w:val="32"/>
        </w:rPr>
        <w:t>1-9月</w:t>
      </w:r>
      <w:r w:rsidR="006D3EC1" w:rsidRPr="006D3EC1">
        <w:rPr>
          <w:rFonts w:ascii="仿宋" w:eastAsia="仿宋" w:hAnsi="仿宋" w:hint="eastAsia"/>
          <w:sz w:val="32"/>
          <w:szCs w:val="32"/>
        </w:rPr>
        <w:t>，全市累计实现农险保费收入</w:t>
      </w:r>
      <w:r w:rsidR="00970A53">
        <w:rPr>
          <w:rFonts w:ascii="仿宋" w:eastAsia="仿宋" w:hAnsi="仿宋" w:hint="eastAsia"/>
          <w:sz w:val="32"/>
          <w:szCs w:val="32"/>
        </w:rPr>
        <w:t>17170</w:t>
      </w:r>
      <w:r w:rsidR="006D3EC1" w:rsidRPr="006D3EC1">
        <w:rPr>
          <w:rFonts w:ascii="仿宋" w:eastAsia="仿宋" w:hAnsi="仿宋" w:hint="eastAsia"/>
          <w:sz w:val="32"/>
          <w:szCs w:val="32"/>
        </w:rPr>
        <w:t>万元，同比增加</w:t>
      </w:r>
      <w:r w:rsidR="00970A53">
        <w:rPr>
          <w:rFonts w:ascii="仿宋" w:eastAsia="仿宋" w:hAnsi="仿宋" w:hint="eastAsia"/>
          <w:sz w:val="32"/>
          <w:szCs w:val="32"/>
        </w:rPr>
        <w:t>4123</w:t>
      </w:r>
      <w:r w:rsidR="006D3EC1" w:rsidRPr="006D3EC1">
        <w:rPr>
          <w:rFonts w:ascii="仿宋" w:eastAsia="仿宋" w:hAnsi="仿宋" w:hint="eastAsia"/>
          <w:sz w:val="32"/>
          <w:szCs w:val="32"/>
        </w:rPr>
        <w:t>万元，增速</w:t>
      </w:r>
      <w:r w:rsidR="00970A53">
        <w:rPr>
          <w:rFonts w:ascii="仿宋" w:eastAsia="仿宋" w:hAnsi="仿宋" w:hint="eastAsia"/>
          <w:sz w:val="32"/>
          <w:szCs w:val="32"/>
        </w:rPr>
        <w:t>31.6</w:t>
      </w:r>
      <w:r w:rsidR="006D3EC1" w:rsidRPr="006D3EC1">
        <w:rPr>
          <w:rFonts w:ascii="仿宋" w:eastAsia="仿宋" w:hAnsi="仿宋" w:hint="eastAsia"/>
          <w:sz w:val="32"/>
          <w:szCs w:val="32"/>
        </w:rPr>
        <w:t>%，同比提升</w:t>
      </w:r>
      <w:r w:rsidR="00970A53">
        <w:rPr>
          <w:rFonts w:ascii="仿宋" w:eastAsia="仿宋" w:hAnsi="仿宋" w:hint="eastAsia"/>
          <w:sz w:val="32"/>
          <w:szCs w:val="32"/>
        </w:rPr>
        <w:t>14.6</w:t>
      </w:r>
      <w:r w:rsidR="00176496">
        <w:rPr>
          <w:rFonts w:ascii="仿宋" w:eastAsia="仿宋" w:hAnsi="仿宋" w:hint="eastAsia"/>
          <w:sz w:val="32"/>
          <w:szCs w:val="32"/>
        </w:rPr>
        <w:t>3</w:t>
      </w:r>
      <w:r w:rsidR="006D3EC1" w:rsidRPr="006D3EC1">
        <w:rPr>
          <w:rFonts w:ascii="仿宋" w:eastAsia="仿宋" w:hAnsi="仿宋" w:hint="eastAsia"/>
          <w:sz w:val="32"/>
          <w:szCs w:val="32"/>
        </w:rPr>
        <w:t>个百分点；市场份额</w:t>
      </w:r>
      <w:r w:rsidR="00970A53">
        <w:rPr>
          <w:rFonts w:ascii="仿宋" w:eastAsia="仿宋" w:hAnsi="仿宋" w:hint="eastAsia"/>
          <w:sz w:val="32"/>
          <w:szCs w:val="32"/>
        </w:rPr>
        <w:t>15.11</w:t>
      </w:r>
      <w:r w:rsidR="006D3EC1" w:rsidRPr="006D3EC1">
        <w:rPr>
          <w:rFonts w:ascii="仿宋" w:eastAsia="仿宋" w:hAnsi="仿宋" w:hint="eastAsia"/>
          <w:sz w:val="32"/>
          <w:szCs w:val="32"/>
        </w:rPr>
        <w:t>%，同比上升2.</w:t>
      </w:r>
      <w:r w:rsidR="00970A53">
        <w:rPr>
          <w:rFonts w:ascii="仿宋" w:eastAsia="仿宋" w:hAnsi="仿宋" w:hint="eastAsia"/>
          <w:sz w:val="32"/>
          <w:szCs w:val="32"/>
        </w:rPr>
        <w:t>2</w:t>
      </w:r>
      <w:r w:rsidR="006D3EC1" w:rsidRPr="006D3EC1">
        <w:rPr>
          <w:rFonts w:ascii="仿宋" w:eastAsia="仿宋" w:hAnsi="仿宋" w:hint="eastAsia"/>
          <w:sz w:val="32"/>
          <w:szCs w:val="32"/>
        </w:rPr>
        <w:t>9个百分点。</w:t>
      </w:r>
    </w:p>
    <w:p w:rsidR="00B52ADD" w:rsidRDefault="006D3EC1" w:rsidP="006D3EC1">
      <w:pPr>
        <w:ind w:firstLineChars="200" w:firstLine="643"/>
        <w:rPr>
          <w:rFonts w:ascii="仿宋" w:eastAsia="仿宋" w:hAnsi="仿宋"/>
          <w:sz w:val="32"/>
          <w:szCs w:val="32"/>
        </w:rPr>
      </w:pPr>
      <w:r>
        <w:rPr>
          <w:rFonts w:ascii="仿宋" w:eastAsia="仿宋" w:hAnsi="仿宋" w:hint="eastAsia"/>
          <w:b/>
          <w:bCs/>
          <w:sz w:val="32"/>
          <w:szCs w:val="32"/>
        </w:rPr>
        <w:t>从</w:t>
      </w:r>
      <w:r w:rsidR="00890947" w:rsidRPr="006D3EC1">
        <w:rPr>
          <w:rFonts w:ascii="仿宋" w:eastAsia="仿宋" w:hAnsi="仿宋" w:hint="eastAsia"/>
          <w:b/>
          <w:bCs/>
          <w:sz w:val="32"/>
          <w:szCs w:val="32"/>
        </w:rPr>
        <w:t>险种</w:t>
      </w:r>
      <w:r>
        <w:rPr>
          <w:rFonts w:ascii="仿宋" w:eastAsia="仿宋" w:hAnsi="仿宋" w:hint="eastAsia"/>
          <w:b/>
          <w:bCs/>
          <w:sz w:val="32"/>
          <w:szCs w:val="32"/>
        </w:rPr>
        <w:t>情况看</w:t>
      </w:r>
      <w:r w:rsidR="00890947" w:rsidRPr="006D3EC1">
        <w:rPr>
          <w:rFonts w:ascii="仿宋" w:eastAsia="仿宋" w:hAnsi="仿宋" w:hint="eastAsia"/>
          <w:b/>
          <w:bCs/>
          <w:sz w:val="32"/>
          <w:szCs w:val="32"/>
        </w:rPr>
        <w:t>：</w:t>
      </w:r>
      <w:r w:rsidR="00890947" w:rsidRPr="006D3EC1">
        <w:rPr>
          <w:rFonts w:ascii="仿宋" w:eastAsia="仿宋" w:hAnsi="仿宋" w:hint="eastAsia"/>
          <w:sz w:val="32"/>
          <w:szCs w:val="32"/>
        </w:rPr>
        <w:t>种植险保费</w:t>
      </w:r>
      <w:r w:rsidR="00970A53">
        <w:rPr>
          <w:rFonts w:ascii="仿宋" w:eastAsia="仿宋" w:hAnsi="仿宋" w:hint="eastAsia"/>
          <w:sz w:val="32"/>
          <w:szCs w:val="32"/>
        </w:rPr>
        <w:t>13919</w:t>
      </w:r>
      <w:r w:rsidR="00890947" w:rsidRPr="006D3EC1">
        <w:rPr>
          <w:rFonts w:ascii="仿宋" w:eastAsia="仿宋" w:hAnsi="仿宋" w:hint="eastAsia"/>
          <w:sz w:val="32"/>
          <w:szCs w:val="32"/>
        </w:rPr>
        <w:t>万元，增速</w:t>
      </w:r>
      <w:r w:rsidR="00970A53">
        <w:rPr>
          <w:rFonts w:ascii="仿宋" w:eastAsia="仿宋" w:hAnsi="仿宋" w:hint="eastAsia"/>
          <w:sz w:val="32"/>
          <w:szCs w:val="32"/>
        </w:rPr>
        <w:t>30.69</w:t>
      </w:r>
      <w:r w:rsidR="00890947" w:rsidRPr="006D3EC1">
        <w:rPr>
          <w:rFonts w:ascii="仿宋" w:eastAsia="仿宋" w:hAnsi="仿宋" w:hint="eastAsia"/>
          <w:sz w:val="32"/>
          <w:szCs w:val="32"/>
        </w:rPr>
        <w:t>%，占农险份额</w:t>
      </w:r>
      <w:r w:rsidR="00176496">
        <w:rPr>
          <w:rFonts w:ascii="仿宋" w:eastAsia="仿宋" w:hAnsi="仿宋" w:hint="eastAsia"/>
          <w:sz w:val="32"/>
          <w:szCs w:val="32"/>
        </w:rPr>
        <w:t>81.07</w:t>
      </w:r>
      <w:r w:rsidR="00890947" w:rsidRPr="006D3EC1">
        <w:rPr>
          <w:rFonts w:ascii="仿宋" w:eastAsia="仿宋" w:hAnsi="仿宋" w:hint="eastAsia"/>
          <w:sz w:val="32"/>
          <w:szCs w:val="32"/>
        </w:rPr>
        <w:t>%；养殖险保费</w:t>
      </w:r>
      <w:r w:rsidR="00970A53">
        <w:rPr>
          <w:rFonts w:ascii="仿宋" w:eastAsia="仿宋" w:hAnsi="仿宋" w:hint="eastAsia"/>
          <w:sz w:val="32"/>
          <w:szCs w:val="32"/>
        </w:rPr>
        <w:t>2322</w:t>
      </w:r>
      <w:r w:rsidR="00890947" w:rsidRPr="006D3EC1">
        <w:rPr>
          <w:rFonts w:ascii="仿宋" w:eastAsia="仿宋" w:hAnsi="仿宋" w:hint="eastAsia"/>
          <w:sz w:val="32"/>
          <w:szCs w:val="32"/>
        </w:rPr>
        <w:t>万元，增速</w:t>
      </w:r>
      <w:r w:rsidR="00970A53">
        <w:rPr>
          <w:rFonts w:ascii="仿宋" w:eastAsia="仿宋" w:hAnsi="仿宋" w:hint="eastAsia"/>
          <w:sz w:val="32"/>
          <w:szCs w:val="32"/>
        </w:rPr>
        <w:t>55.59</w:t>
      </w:r>
      <w:r w:rsidR="00890947" w:rsidRPr="006D3EC1">
        <w:rPr>
          <w:rFonts w:ascii="仿宋" w:eastAsia="仿宋" w:hAnsi="仿宋" w:hint="eastAsia"/>
          <w:sz w:val="32"/>
          <w:szCs w:val="32"/>
        </w:rPr>
        <w:t>%，</w:t>
      </w:r>
      <w:r w:rsidR="00890947" w:rsidRPr="006D3EC1">
        <w:rPr>
          <w:rFonts w:ascii="仿宋" w:eastAsia="仿宋" w:hAnsi="仿宋" w:hint="eastAsia"/>
          <w:sz w:val="32"/>
          <w:szCs w:val="32"/>
        </w:rPr>
        <w:lastRenderedPageBreak/>
        <w:t>占农险份额</w:t>
      </w:r>
      <w:r w:rsidR="00176496">
        <w:rPr>
          <w:rFonts w:ascii="仿宋" w:eastAsia="仿宋" w:hAnsi="仿宋" w:hint="eastAsia"/>
          <w:sz w:val="32"/>
          <w:szCs w:val="32"/>
        </w:rPr>
        <w:t>13.52</w:t>
      </w:r>
      <w:r w:rsidR="00890947" w:rsidRPr="006D3EC1">
        <w:rPr>
          <w:rFonts w:ascii="仿宋" w:eastAsia="仿宋" w:hAnsi="仿宋" w:hint="eastAsia"/>
          <w:sz w:val="32"/>
          <w:szCs w:val="32"/>
        </w:rPr>
        <w:t>%；森林险保费929万，增速</w:t>
      </w:r>
      <w:r w:rsidR="00970A53">
        <w:rPr>
          <w:rFonts w:ascii="仿宋" w:eastAsia="仿宋" w:hAnsi="仿宋" w:hint="eastAsia"/>
          <w:sz w:val="32"/>
          <w:szCs w:val="32"/>
        </w:rPr>
        <w:t>2</w:t>
      </w:r>
      <w:r w:rsidR="00890947" w:rsidRPr="006D3EC1">
        <w:rPr>
          <w:rFonts w:ascii="仿宋" w:eastAsia="仿宋" w:hAnsi="仿宋" w:hint="eastAsia"/>
          <w:sz w:val="32"/>
          <w:szCs w:val="32"/>
        </w:rPr>
        <w:t>.71%，占农险份额5.</w:t>
      </w:r>
      <w:r w:rsidR="00176496">
        <w:rPr>
          <w:rFonts w:ascii="仿宋" w:eastAsia="仿宋" w:hAnsi="仿宋" w:hint="eastAsia"/>
          <w:sz w:val="32"/>
          <w:szCs w:val="32"/>
        </w:rPr>
        <w:t>41</w:t>
      </w:r>
      <w:r w:rsidR="00890947" w:rsidRPr="006D3EC1">
        <w:rPr>
          <w:rFonts w:ascii="仿宋" w:eastAsia="仿宋" w:hAnsi="仿宋" w:hint="eastAsia"/>
          <w:sz w:val="32"/>
          <w:szCs w:val="32"/>
        </w:rPr>
        <w:t>%。</w:t>
      </w:r>
    </w:p>
    <w:p w:rsidR="006D3EC1" w:rsidRPr="006D3EC1" w:rsidRDefault="00970A53" w:rsidP="006D3EC1">
      <w:pPr>
        <w:rPr>
          <w:rFonts w:ascii="仿宋" w:eastAsia="仿宋" w:hAnsi="仿宋"/>
          <w:sz w:val="32"/>
          <w:szCs w:val="32"/>
        </w:rPr>
      </w:pPr>
      <w:r>
        <w:rPr>
          <w:noProof/>
        </w:rPr>
        <w:drawing>
          <wp:inline distT="0" distB="0" distL="0" distR="0" wp14:anchorId="688F1AD0" wp14:editId="55049453">
            <wp:extent cx="5271715" cy="1908313"/>
            <wp:effectExtent l="0" t="0" r="24765" b="15875"/>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52ADD" w:rsidRPr="006D3EC1" w:rsidRDefault="00045FB2" w:rsidP="000207F5">
      <w:pPr>
        <w:ind w:firstLineChars="200" w:firstLine="640"/>
        <w:rPr>
          <w:rFonts w:ascii="仿宋" w:eastAsia="仿宋" w:hAnsi="仿宋"/>
          <w:sz w:val="32"/>
          <w:szCs w:val="32"/>
        </w:rPr>
      </w:pPr>
      <w:r>
        <w:rPr>
          <w:rFonts w:ascii="仿宋" w:eastAsia="仿宋" w:hAnsi="仿宋" w:hint="eastAsia"/>
          <w:sz w:val="32"/>
          <w:szCs w:val="32"/>
        </w:rPr>
        <w:t>1-9月</w:t>
      </w:r>
      <w:r w:rsidR="00890947" w:rsidRPr="006D3EC1">
        <w:rPr>
          <w:rFonts w:ascii="仿宋" w:eastAsia="仿宋" w:hAnsi="仿宋" w:hint="eastAsia"/>
          <w:sz w:val="32"/>
          <w:szCs w:val="32"/>
        </w:rPr>
        <w:t>，农险保费增速较快，主要是凤城地区新增食用菌保费拉动。</w:t>
      </w:r>
    </w:p>
    <w:p w:rsidR="00B52ADD" w:rsidRPr="000207F5" w:rsidRDefault="000207F5" w:rsidP="000207F5">
      <w:pPr>
        <w:ind w:firstLineChars="200" w:firstLine="643"/>
        <w:rPr>
          <w:rFonts w:ascii="仿宋" w:eastAsia="仿宋" w:hAnsi="仿宋"/>
          <w:sz w:val="32"/>
          <w:szCs w:val="32"/>
        </w:rPr>
      </w:pPr>
      <w:r>
        <w:rPr>
          <w:rFonts w:ascii="仿宋" w:eastAsia="仿宋" w:hAnsi="仿宋" w:hint="eastAsia"/>
          <w:b/>
          <w:bCs/>
          <w:sz w:val="32"/>
          <w:szCs w:val="32"/>
        </w:rPr>
        <w:t>从</w:t>
      </w:r>
      <w:r w:rsidR="00890947" w:rsidRPr="000207F5">
        <w:rPr>
          <w:rFonts w:ascii="仿宋" w:eastAsia="仿宋" w:hAnsi="仿宋" w:hint="eastAsia"/>
          <w:b/>
          <w:bCs/>
          <w:sz w:val="32"/>
          <w:szCs w:val="32"/>
        </w:rPr>
        <w:t>主体</w:t>
      </w:r>
      <w:r>
        <w:rPr>
          <w:rFonts w:ascii="仿宋" w:eastAsia="仿宋" w:hAnsi="仿宋" w:hint="eastAsia"/>
          <w:b/>
          <w:bCs/>
          <w:sz w:val="32"/>
          <w:szCs w:val="32"/>
        </w:rPr>
        <w:t>情况看</w:t>
      </w:r>
      <w:r w:rsidR="00890947" w:rsidRPr="000207F5">
        <w:rPr>
          <w:rFonts w:ascii="仿宋" w:eastAsia="仿宋" w:hAnsi="仿宋" w:hint="eastAsia"/>
          <w:b/>
          <w:bCs/>
          <w:sz w:val="32"/>
          <w:szCs w:val="32"/>
        </w:rPr>
        <w:t>：</w:t>
      </w:r>
      <w:r w:rsidR="00045FB2">
        <w:rPr>
          <w:rFonts w:ascii="仿宋" w:eastAsia="仿宋" w:hAnsi="仿宋" w:hint="eastAsia"/>
          <w:sz w:val="32"/>
          <w:szCs w:val="32"/>
        </w:rPr>
        <w:t>1-9月</w:t>
      </w:r>
      <w:r w:rsidR="00890947" w:rsidRPr="000207F5">
        <w:rPr>
          <w:rFonts w:ascii="仿宋" w:eastAsia="仿宋" w:hAnsi="仿宋" w:hint="eastAsia"/>
          <w:sz w:val="32"/>
          <w:szCs w:val="32"/>
        </w:rPr>
        <w:t>，全市经营农险业务的主体共有6家，分别是：人保（保费</w:t>
      </w:r>
      <w:r w:rsidR="00E33C4E">
        <w:rPr>
          <w:rFonts w:ascii="仿宋" w:eastAsia="仿宋" w:hAnsi="仿宋" w:hint="eastAsia"/>
          <w:sz w:val="32"/>
          <w:szCs w:val="32"/>
        </w:rPr>
        <w:t>6805</w:t>
      </w:r>
      <w:r w:rsidR="00890947" w:rsidRPr="000207F5">
        <w:rPr>
          <w:rFonts w:ascii="仿宋" w:eastAsia="仿宋" w:hAnsi="仿宋" w:hint="eastAsia"/>
          <w:sz w:val="32"/>
          <w:szCs w:val="32"/>
        </w:rPr>
        <w:t>万，份额</w:t>
      </w:r>
      <w:r w:rsidR="00E33C4E">
        <w:rPr>
          <w:rFonts w:ascii="仿宋" w:eastAsia="仿宋" w:hAnsi="仿宋" w:hint="eastAsia"/>
          <w:sz w:val="32"/>
          <w:szCs w:val="32"/>
        </w:rPr>
        <w:t>39.63</w:t>
      </w:r>
      <w:r w:rsidR="00890947" w:rsidRPr="000207F5">
        <w:rPr>
          <w:rFonts w:ascii="仿宋" w:eastAsia="仿宋" w:hAnsi="仿宋" w:hint="eastAsia"/>
          <w:sz w:val="32"/>
          <w:szCs w:val="32"/>
        </w:rPr>
        <w:t>%）、太平洋（保费30</w:t>
      </w:r>
      <w:r w:rsidR="00E33C4E">
        <w:rPr>
          <w:rFonts w:ascii="仿宋" w:eastAsia="仿宋" w:hAnsi="仿宋" w:hint="eastAsia"/>
          <w:sz w:val="32"/>
          <w:szCs w:val="32"/>
        </w:rPr>
        <w:t>4</w:t>
      </w:r>
      <w:r w:rsidR="00890947" w:rsidRPr="000207F5">
        <w:rPr>
          <w:rFonts w:ascii="仿宋" w:eastAsia="仿宋" w:hAnsi="仿宋" w:hint="eastAsia"/>
          <w:sz w:val="32"/>
          <w:szCs w:val="32"/>
        </w:rPr>
        <w:t>万，份额1.</w:t>
      </w:r>
      <w:r w:rsidR="00E33C4E">
        <w:rPr>
          <w:rFonts w:ascii="仿宋" w:eastAsia="仿宋" w:hAnsi="仿宋" w:hint="eastAsia"/>
          <w:sz w:val="32"/>
          <w:szCs w:val="32"/>
        </w:rPr>
        <w:t>77</w:t>
      </w:r>
      <w:r w:rsidR="00890947" w:rsidRPr="000207F5">
        <w:rPr>
          <w:rFonts w:ascii="仿宋" w:eastAsia="仿宋" w:hAnsi="仿宋" w:hint="eastAsia"/>
          <w:sz w:val="32"/>
          <w:szCs w:val="32"/>
        </w:rPr>
        <w:t>%）、中华联合（保费4</w:t>
      </w:r>
      <w:r w:rsidR="006253E5">
        <w:rPr>
          <w:rFonts w:ascii="仿宋" w:eastAsia="仿宋" w:hAnsi="仿宋" w:hint="eastAsia"/>
          <w:sz w:val="32"/>
          <w:szCs w:val="32"/>
        </w:rPr>
        <w:t>942</w:t>
      </w:r>
      <w:r w:rsidR="00890947" w:rsidRPr="000207F5">
        <w:rPr>
          <w:rFonts w:ascii="仿宋" w:eastAsia="仿宋" w:hAnsi="仿宋" w:hint="eastAsia"/>
          <w:sz w:val="32"/>
          <w:szCs w:val="32"/>
        </w:rPr>
        <w:t>万，份额</w:t>
      </w:r>
      <w:r w:rsidR="006253E5">
        <w:rPr>
          <w:rFonts w:ascii="仿宋" w:eastAsia="仿宋" w:hAnsi="仿宋" w:hint="eastAsia"/>
          <w:sz w:val="32"/>
          <w:szCs w:val="32"/>
        </w:rPr>
        <w:t>28.78</w:t>
      </w:r>
      <w:r w:rsidR="00890947" w:rsidRPr="000207F5">
        <w:rPr>
          <w:rFonts w:ascii="仿宋" w:eastAsia="仿宋" w:hAnsi="仿宋" w:hint="eastAsia"/>
          <w:sz w:val="32"/>
          <w:szCs w:val="32"/>
        </w:rPr>
        <w:t>%）、国寿财（保费15</w:t>
      </w:r>
      <w:r w:rsidR="006253E5">
        <w:rPr>
          <w:rFonts w:ascii="仿宋" w:eastAsia="仿宋" w:hAnsi="仿宋" w:hint="eastAsia"/>
          <w:sz w:val="32"/>
          <w:szCs w:val="32"/>
        </w:rPr>
        <w:t>9</w:t>
      </w:r>
      <w:r w:rsidR="00890947" w:rsidRPr="000207F5">
        <w:rPr>
          <w:rFonts w:ascii="仿宋" w:eastAsia="仿宋" w:hAnsi="仿宋" w:hint="eastAsia"/>
          <w:sz w:val="32"/>
          <w:szCs w:val="32"/>
        </w:rPr>
        <w:t>万，份额0.9</w:t>
      </w:r>
      <w:r w:rsidR="006253E5">
        <w:rPr>
          <w:rFonts w:ascii="仿宋" w:eastAsia="仿宋" w:hAnsi="仿宋" w:hint="eastAsia"/>
          <w:sz w:val="32"/>
          <w:szCs w:val="32"/>
        </w:rPr>
        <w:t>3</w:t>
      </w:r>
      <w:r w:rsidR="00890947" w:rsidRPr="000207F5">
        <w:rPr>
          <w:rFonts w:ascii="仿宋" w:eastAsia="仿宋" w:hAnsi="仿宋" w:hint="eastAsia"/>
          <w:sz w:val="32"/>
          <w:szCs w:val="32"/>
        </w:rPr>
        <w:t>%）、安华农业（保费19</w:t>
      </w:r>
      <w:r w:rsidR="006253E5">
        <w:rPr>
          <w:rFonts w:ascii="仿宋" w:eastAsia="仿宋" w:hAnsi="仿宋" w:hint="eastAsia"/>
          <w:sz w:val="32"/>
          <w:szCs w:val="32"/>
        </w:rPr>
        <w:t>91</w:t>
      </w:r>
      <w:r w:rsidR="00890947" w:rsidRPr="000207F5">
        <w:rPr>
          <w:rFonts w:ascii="仿宋" w:eastAsia="仿宋" w:hAnsi="仿宋" w:hint="eastAsia"/>
          <w:sz w:val="32"/>
          <w:szCs w:val="32"/>
        </w:rPr>
        <w:t>万，份额</w:t>
      </w:r>
      <w:r w:rsidR="006253E5">
        <w:rPr>
          <w:rFonts w:ascii="仿宋" w:eastAsia="仿宋" w:hAnsi="仿宋" w:hint="eastAsia"/>
          <w:sz w:val="32"/>
          <w:szCs w:val="32"/>
        </w:rPr>
        <w:t>11.59</w:t>
      </w:r>
      <w:r w:rsidR="00890947" w:rsidRPr="000207F5">
        <w:rPr>
          <w:rFonts w:ascii="仿宋" w:eastAsia="仿宋" w:hAnsi="仿宋" w:hint="eastAsia"/>
          <w:sz w:val="32"/>
          <w:szCs w:val="32"/>
        </w:rPr>
        <w:t>%）、中航安盟（保费2</w:t>
      </w:r>
      <w:r w:rsidR="006253E5">
        <w:rPr>
          <w:rFonts w:ascii="仿宋" w:eastAsia="仿宋" w:hAnsi="仿宋" w:hint="eastAsia"/>
          <w:sz w:val="32"/>
          <w:szCs w:val="32"/>
        </w:rPr>
        <w:t>9</w:t>
      </w:r>
      <w:r w:rsidR="00890947" w:rsidRPr="000207F5">
        <w:rPr>
          <w:rFonts w:ascii="仿宋" w:eastAsia="仿宋" w:hAnsi="仿宋" w:hint="eastAsia"/>
          <w:sz w:val="32"/>
          <w:szCs w:val="32"/>
        </w:rPr>
        <w:t>6</w:t>
      </w:r>
      <w:r w:rsidR="006253E5">
        <w:rPr>
          <w:rFonts w:ascii="仿宋" w:eastAsia="仿宋" w:hAnsi="仿宋" w:hint="eastAsia"/>
          <w:sz w:val="32"/>
          <w:szCs w:val="32"/>
        </w:rPr>
        <w:t>9</w:t>
      </w:r>
      <w:r w:rsidR="00890947" w:rsidRPr="000207F5">
        <w:rPr>
          <w:rFonts w:ascii="仿宋" w:eastAsia="仿宋" w:hAnsi="仿宋" w:hint="eastAsia"/>
          <w:sz w:val="32"/>
          <w:szCs w:val="32"/>
        </w:rPr>
        <w:t>万元，份额17.</w:t>
      </w:r>
      <w:r w:rsidR="006253E5">
        <w:rPr>
          <w:rFonts w:ascii="仿宋" w:eastAsia="仿宋" w:hAnsi="仿宋" w:hint="eastAsia"/>
          <w:sz w:val="32"/>
          <w:szCs w:val="32"/>
        </w:rPr>
        <w:t>2</w:t>
      </w:r>
      <w:r w:rsidR="00890947" w:rsidRPr="000207F5">
        <w:rPr>
          <w:rFonts w:ascii="仿宋" w:eastAsia="仿宋" w:hAnsi="仿宋" w:hint="eastAsia"/>
          <w:sz w:val="32"/>
          <w:szCs w:val="32"/>
        </w:rPr>
        <w:t>9%）。</w:t>
      </w:r>
    </w:p>
    <w:p w:rsidR="00FB3C2F" w:rsidRDefault="00E33C4E" w:rsidP="00FB3C2F">
      <w:pPr>
        <w:rPr>
          <w:rFonts w:ascii="仿宋" w:eastAsia="仿宋" w:hAnsi="仿宋"/>
          <w:sz w:val="32"/>
          <w:szCs w:val="32"/>
        </w:rPr>
      </w:pPr>
      <w:r>
        <w:rPr>
          <w:noProof/>
        </w:rPr>
        <w:drawing>
          <wp:inline distT="0" distB="0" distL="0" distR="0" wp14:anchorId="648BB4D0" wp14:editId="5EA48D37">
            <wp:extent cx="5271715" cy="2345635"/>
            <wp:effectExtent l="0" t="0" r="24765" b="17145"/>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0207F5" w:rsidRPr="00720581" w:rsidRDefault="000207F5" w:rsidP="00E224B1">
      <w:pPr>
        <w:rPr>
          <w:rFonts w:ascii="仿宋" w:eastAsia="仿宋" w:hAnsi="仿宋"/>
          <w:sz w:val="32"/>
          <w:szCs w:val="32"/>
        </w:rPr>
      </w:pPr>
      <w:r>
        <w:rPr>
          <w:rFonts w:ascii="仿宋" w:eastAsia="仿宋" w:hAnsi="仿宋" w:hint="eastAsia"/>
          <w:sz w:val="32"/>
          <w:szCs w:val="32"/>
        </w:rPr>
        <w:t xml:space="preserve">  </w:t>
      </w:r>
      <w:r w:rsidRPr="00720581">
        <w:rPr>
          <w:rFonts w:ascii="仿宋" w:eastAsia="仿宋" w:hAnsi="仿宋" w:hint="eastAsia"/>
          <w:b/>
          <w:sz w:val="32"/>
          <w:szCs w:val="32"/>
        </w:rPr>
        <w:t>（五）</w:t>
      </w:r>
      <w:proofErr w:type="gramStart"/>
      <w:r w:rsidRPr="00720581">
        <w:rPr>
          <w:rFonts w:ascii="仿宋" w:eastAsia="仿宋" w:hAnsi="仿宋" w:hint="eastAsia"/>
          <w:b/>
          <w:bCs/>
          <w:sz w:val="32"/>
          <w:szCs w:val="32"/>
        </w:rPr>
        <w:t>商非市场</w:t>
      </w:r>
      <w:proofErr w:type="gramEnd"/>
      <w:r w:rsidRPr="00720581">
        <w:rPr>
          <w:rFonts w:ascii="仿宋" w:eastAsia="仿宋" w:hAnsi="仿宋" w:hint="eastAsia"/>
          <w:b/>
          <w:bCs/>
          <w:sz w:val="32"/>
          <w:szCs w:val="32"/>
        </w:rPr>
        <w:t>情况</w:t>
      </w:r>
    </w:p>
    <w:p w:rsidR="000207F5" w:rsidRPr="00720581" w:rsidRDefault="00045FB2" w:rsidP="000207F5">
      <w:pPr>
        <w:ind w:firstLineChars="200" w:firstLine="640"/>
        <w:rPr>
          <w:rFonts w:ascii="仿宋" w:eastAsia="仿宋" w:hAnsi="仿宋"/>
          <w:sz w:val="32"/>
          <w:szCs w:val="32"/>
        </w:rPr>
      </w:pPr>
      <w:r w:rsidRPr="00720581">
        <w:rPr>
          <w:rFonts w:ascii="仿宋" w:eastAsia="仿宋" w:hAnsi="仿宋" w:hint="eastAsia"/>
          <w:sz w:val="32"/>
          <w:szCs w:val="32"/>
        </w:rPr>
        <w:lastRenderedPageBreak/>
        <w:t>1-9月</w:t>
      </w:r>
      <w:r w:rsidR="000207F5" w:rsidRPr="00720581">
        <w:rPr>
          <w:rFonts w:ascii="仿宋" w:eastAsia="仿宋" w:hAnsi="仿宋" w:hint="eastAsia"/>
          <w:sz w:val="32"/>
          <w:szCs w:val="32"/>
        </w:rPr>
        <w:t>，</w:t>
      </w:r>
      <w:proofErr w:type="gramStart"/>
      <w:r w:rsidR="000207F5" w:rsidRPr="00720581">
        <w:rPr>
          <w:rFonts w:ascii="仿宋" w:eastAsia="仿宋" w:hAnsi="仿宋" w:hint="eastAsia"/>
          <w:sz w:val="32"/>
          <w:szCs w:val="32"/>
        </w:rPr>
        <w:t>全市商非保费</w:t>
      </w:r>
      <w:proofErr w:type="gramEnd"/>
      <w:r w:rsidR="00E224B1" w:rsidRPr="00720581">
        <w:rPr>
          <w:rFonts w:ascii="仿宋" w:eastAsia="仿宋" w:hAnsi="仿宋" w:hint="eastAsia"/>
          <w:sz w:val="32"/>
          <w:szCs w:val="32"/>
        </w:rPr>
        <w:t>25564</w:t>
      </w:r>
      <w:r w:rsidR="000207F5" w:rsidRPr="00720581">
        <w:rPr>
          <w:rFonts w:ascii="仿宋" w:eastAsia="仿宋" w:hAnsi="仿宋" w:hint="eastAsia"/>
          <w:sz w:val="32"/>
          <w:szCs w:val="32"/>
        </w:rPr>
        <w:t>万元，同比增加</w:t>
      </w:r>
      <w:r w:rsidR="00E224B1" w:rsidRPr="00720581">
        <w:rPr>
          <w:rFonts w:ascii="仿宋" w:eastAsia="仿宋" w:hAnsi="仿宋" w:hint="eastAsia"/>
          <w:sz w:val="32"/>
          <w:szCs w:val="32"/>
        </w:rPr>
        <w:t>8145</w:t>
      </w:r>
      <w:r w:rsidR="000207F5" w:rsidRPr="00720581">
        <w:rPr>
          <w:rFonts w:ascii="仿宋" w:eastAsia="仿宋" w:hAnsi="仿宋" w:hint="eastAsia"/>
          <w:sz w:val="32"/>
          <w:szCs w:val="32"/>
        </w:rPr>
        <w:t>万元，增速</w:t>
      </w:r>
      <w:r w:rsidR="00DA1E9C">
        <w:rPr>
          <w:rFonts w:ascii="仿宋" w:eastAsia="仿宋" w:hAnsi="仿宋" w:hint="eastAsia"/>
          <w:sz w:val="32"/>
          <w:szCs w:val="32"/>
        </w:rPr>
        <w:t>46.75</w:t>
      </w:r>
      <w:r w:rsidR="000207F5" w:rsidRPr="00720581">
        <w:rPr>
          <w:rFonts w:ascii="仿宋" w:eastAsia="仿宋" w:hAnsi="仿宋" w:hint="eastAsia"/>
          <w:sz w:val="32"/>
          <w:szCs w:val="32"/>
        </w:rPr>
        <w:t>%，同比提升</w:t>
      </w:r>
      <w:r w:rsidR="00DA1E9C">
        <w:rPr>
          <w:rFonts w:ascii="仿宋" w:eastAsia="仿宋" w:hAnsi="仿宋" w:hint="eastAsia"/>
          <w:sz w:val="32"/>
          <w:szCs w:val="32"/>
        </w:rPr>
        <w:t>24.62</w:t>
      </w:r>
      <w:r w:rsidR="000207F5" w:rsidRPr="00720581">
        <w:rPr>
          <w:rFonts w:ascii="仿宋" w:eastAsia="仿宋" w:hAnsi="仿宋" w:hint="eastAsia"/>
          <w:sz w:val="32"/>
          <w:szCs w:val="32"/>
        </w:rPr>
        <w:t>个百分点；份额</w:t>
      </w:r>
      <w:r w:rsidR="00E224B1" w:rsidRPr="00720581">
        <w:rPr>
          <w:rFonts w:ascii="仿宋" w:eastAsia="仿宋" w:hAnsi="仿宋" w:hint="eastAsia"/>
          <w:sz w:val="32"/>
          <w:szCs w:val="32"/>
        </w:rPr>
        <w:t>22.5</w:t>
      </w:r>
      <w:r w:rsidR="000207F5" w:rsidRPr="00720581">
        <w:rPr>
          <w:rFonts w:ascii="仿宋" w:eastAsia="仿宋" w:hAnsi="仿宋" w:hint="eastAsia"/>
          <w:sz w:val="32"/>
          <w:szCs w:val="32"/>
        </w:rPr>
        <w:t>%，同比提升</w:t>
      </w:r>
      <w:r w:rsidR="00E224B1" w:rsidRPr="00720581">
        <w:rPr>
          <w:rFonts w:ascii="仿宋" w:eastAsia="仿宋" w:hAnsi="仿宋" w:hint="eastAsia"/>
          <w:sz w:val="32"/>
          <w:szCs w:val="32"/>
        </w:rPr>
        <w:t>5.38</w:t>
      </w:r>
      <w:r w:rsidR="000207F5" w:rsidRPr="00720581">
        <w:rPr>
          <w:rFonts w:ascii="仿宋" w:eastAsia="仿宋" w:hAnsi="仿宋" w:hint="eastAsia"/>
          <w:sz w:val="32"/>
          <w:szCs w:val="32"/>
        </w:rPr>
        <w:t>个百分点。</w:t>
      </w:r>
    </w:p>
    <w:p w:rsidR="00B52ADD" w:rsidRPr="000207F5" w:rsidRDefault="000207F5" w:rsidP="000207F5">
      <w:pPr>
        <w:ind w:firstLineChars="200" w:firstLine="643"/>
        <w:rPr>
          <w:rFonts w:ascii="仿宋" w:eastAsia="仿宋" w:hAnsi="仿宋"/>
          <w:sz w:val="32"/>
          <w:szCs w:val="32"/>
        </w:rPr>
      </w:pPr>
      <w:r w:rsidRPr="00950ACA">
        <w:rPr>
          <w:rFonts w:ascii="仿宋" w:eastAsia="仿宋" w:hAnsi="仿宋" w:hint="eastAsia"/>
          <w:b/>
          <w:bCs/>
          <w:sz w:val="32"/>
          <w:szCs w:val="32"/>
        </w:rPr>
        <w:t>从</w:t>
      </w:r>
      <w:r w:rsidR="00890947" w:rsidRPr="00950ACA">
        <w:rPr>
          <w:rFonts w:ascii="仿宋" w:eastAsia="仿宋" w:hAnsi="仿宋" w:hint="eastAsia"/>
          <w:b/>
          <w:bCs/>
          <w:sz w:val="32"/>
          <w:szCs w:val="32"/>
        </w:rPr>
        <w:t>主体</w:t>
      </w:r>
      <w:r w:rsidRPr="00950ACA">
        <w:rPr>
          <w:rFonts w:ascii="仿宋" w:eastAsia="仿宋" w:hAnsi="仿宋" w:hint="eastAsia"/>
          <w:b/>
          <w:bCs/>
          <w:sz w:val="32"/>
          <w:szCs w:val="32"/>
        </w:rPr>
        <w:t>情况看</w:t>
      </w:r>
      <w:r w:rsidR="00890947" w:rsidRPr="00950ACA">
        <w:rPr>
          <w:rFonts w:ascii="仿宋" w:eastAsia="仿宋" w:hAnsi="仿宋" w:hint="eastAsia"/>
          <w:b/>
          <w:bCs/>
          <w:sz w:val="32"/>
          <w:szCs w:val="32"/>
        </w:rPr>
        <w:t>：</w:t>
      </w:r>
      <w:r w:rsidR="00890947" w:rsidRPr="00950ACA">
        <w:rPr>
          <w:rFonts w:ascii="仿宋" w:eastAsia="仿宋" w:hAnsi="仿宋" w:hint="eastAsia"/>
          <w:sz w:val="32"/>
          <w:szCs w:val="32"/>
        </w:rPr>
        <w:t>20家财</w:t>
      </w:r>
      <w:proofErr w:type="gramStart"/>
      <w:r w:rsidR="00890947" w:rsidRPr="00950ACA">
        <w:rPr>
          <w:rFonts w:ascii="仿宋" w:eastAsia="仿宋" w:hAnsi="仿宋" w:hint="eastAsia"/>
          <w:sz w:val="32"/>
          <w:szCs w:val="32"/>
        </w:rPr>
        <w:t>险机构</w:t>
      </w:r>
      <w:proofErr w:type="gramEnd"/>
      <w:r w:rsidR="00890947" w:rsidRPr="00950ACA">
        <w:rPr>
          <w:rFonts w:ascii="仿宋" w:eastAsia="仿宋" w:hAnsi="仿宋" w:hint="eastAsia"/>
          <w:sz w:val="32"/>
          <w:szCs w:val="32"/>
        </w:rPr>
        <w:t>中，人保、太平洋、平安、国寿财、天安、永安、大家、阳光、太平、渤海、中航安盟、富邦1</w:t>
      </w:r>
      <w:r w:rsidR="00D966D3">
        <w:rPr>
          <w:rFonts w:ascii="仿宋" w:eastAsia="仿宋" w:hAnsi="仿宋" w:hint="eastAsia"/>
          <w:sz w:val="32"/>
          <w:szCs w:val="32"/>
        </w:rPr>
        <w:t>2</w:t>
      </w:r>
      <w:r w:rsidR="00890947" w:rsidRPr="00950ACA">
        <w:rPr>
          <w:rFonts w:ascii="仿宋" w:eastAsia="仿宋" w:hAnsi="仿宋" w:hint="eastAsia"/>
          <w:sz w:val="32"/>
          <w:szCs w:val="32"/>
        </w:rPr>
        <w:t>家</w:t>
      </w:r>
      <w:proofErr w:type="gramStart"/>
      <w:r w:rsidR="00890947" w:rsidRPr="00950ACA">
        <w:rPr>
          <w:rFonts w:ascii="仿宋" w:eastAsia="仿宋" w:hAnsi="仿宋" w:hint="eastAsia"/>
          <w:sz w:val="32"/>
          <w:szCs w:val="32"/>
        </w:rPr>
        <w:t>机构商非业务</w:t>
      </w:r>
      <w:proofErr w:type="gramEnd"/>
      <w:r w:rsidR="00890947" w:rsidRPr="00950ACA">
        <w:rPr>
          <w:rFonts w:ascii="仿宋" w:eastAsia="仿宋" w:hAnsi="仿宋" w:hint="eastAsia"/>
          <w:sz w:val="32"/>
          <w:szCs w:val="32"/>
        </w:rPr>
        <w:t>实现正增长，其余</w:t>
      </w:r>
      <w:r w:rsidR="00D966D3">
        <w:rPr>
          <w:rFonts w:ascii="仿宋" w:eastAsia="仿宋" w:hAnsi="仿宋" w:hint="eastAsia"/>
          <w:sz w:val="32"/>
          <w:szCs w:val="32"/>
        </w:rPr>
        <w:t>8</w:t>
      </w:r>
      <w:r w:rsidR="00890947" w:rsidRPr="00950ACA">
        <w:rPr>
          <w:rFonts w:ascii="仿宋" w:eastAsia="仿宋" w:hAnsi="仿宋" w:hint="eastAsia"/>
          <w:sz w:val="32"/>
          <w:szCs w:val="32"/>
        </w:rPr>
        <w:t>家</w:t>
      </w:r>
      <w:proofErr w:type="gramStart"/>
      <w:r w:rsidR="00890947" w:rsidRPr="00950ACA">
        <w:rPr>
          <w:rFonts w:ascii="仿宋" w:eastAsia="仿宋" w:hAnsi="仿宋" w:hint="eastAsia"/>
          <w:sz w:val="32"/>
          <w:szCs w:val="32"/>
        </w:rPr>
        <w:t>机构商非业务</w:t>
      </w:r>
      <w:proofErr w:type="gramEnd"/>
      <w:r w:rsidR="00890947" w:rsidRPr="00950ACA">
        <w:rPr>
          <w:rFonts w:ascii="仿宋" w:eastAsia="仿宋" w:hAnsi="仿宋" w:hint="eastAsia"/>
          <w:sz w:val="32"/>
          <w:szCs w:val="32"/>
        </w:rPr>
        <w:t>负增长。</w:t>
      </w:r>
    </w:p>
    <w:p w:rsidR="000207F5" w:rsidRDefault="00720581" w:rsidP="00FB3C2F">
      <w:pPr>
        <w:rPr>
          <w:rFonts w:ascii="仿宋" w:eastAsia="仿宋" w:hAnsi="仿宋"/>
          <w:sz w:val="32"/>
          <w:szCs w:val="32"/>
        </w:rPr>
      </w:pPr>
      <w:r>
        <w:rPr>
          <w:noProof/>
        </w:rPr>
        <w:drawing>
          <wp:inline distT="0" distB="0" distL="0" distR="0" wp14:anchorId="0A915C3C" wp14:editId="0E6485E9">
            <wp:extent cx="5271715" cy="2631882"/>
            <wp:effectExtent l="0" t="0" r="24765" b="16510"/>
            <wp:docPr id="26" name="图表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B52ADD" w:rsidRPr="000207F5" w:rsidRDefault="000207F5" w:rsidP="000207F5">
      <w:pPr>
        <w:tabs>
          <w:tab w:val="num" w:pos="720"/>
        </w:tabs>
        <w:ind w:firstLineChars="200" w:firstLine="643"/>
        <w:rPr>
          <w:rFonts w:ascii="仿宋" w:eastAsia="仿宋" w:hAnsi="仿宋"/>
          <w:sz w:val="32"/>
          <w:szCs w:val="32"/>
        </w:rPr>
      </w:pPr>
      <w:r w:rsidRPr="00950ACA">
        <w:rPr>
          <w:rFonts w:ascii="仿宋" w:eastAsia="仿宋" w:hAnsi="仿宋" w:hint="eastAsia"/>
          <w:b/>
          <w:bCs/>
          <w:sz w:val="32"/>
          <w:szCs w:val="32"/>
        </w:rPr>
        <w:t>从</w:t>
      </w:r>
      <w:r w:rsidR="00890947" w:rsidRPr="00950ACA">
        <w:rPr>
          <w:rFonts w:ascii="仿宋" w:eastAsia="仿宋" w:hAnsi="仿宋" w:hint="eastAsia"/>
          <w:b/>
          <w:bCs/>
          <w:sz w:val="32"/>
          <w:szCs w:val="32"/>
        </w:rPr>
        <w:t>商非险种情况</w:t>
      </w:r>
      <w:r w:rsidRPr="00950ACA">
        <w:rPr>
          <w:rFonts w:ascii="仿宋" w:eastAsia="仿宋" w:hAnsi="仿宋" w:hint="eastAsia"/>
          <w:b/>
          <w:bCs/>
          <w:sz w:val="32"/>
          <w:szCs w:val="32"/>
        </w:rPr>
        <w:t>看</w:t>
      </w:r>
      <w:r w:rsidR="00890947" w:rsidRPr="00950ACA">
        <w:rPr>
          <w:rFonts w:ascii="仿宋" w:eastAsia="仿宋" w:hAnsi="仿宋" w:hint="eastAsia"/>
          <w:b/>
          <w:bCs/>
          <w:sz w:val="32"/>
          <w:szCs w:val="32"/>
        </w:rPr>
        <w:t>：</w:t>
      </w:r>
      <w:r w:rsidR="00890947" w:rsidRPr="00950ACA">
        <w:rPr>
          <w:rFonts w:ascii="仿宋" w:eastAsia="仿宋" w:hAnsi="仿宋" w:hint="eastAsia"/>
          <w:sz w:val="32"/>
          <w:szCs w:val="32"/>
        </w:rPr>
        <w:t>企财、家财、责任、</w:t>
      </w:r>
      <w:proofErr w:type="gramStart"/>
      <w:r w:rsidR="00890947" w:rsidRPr="00950ACA">
        <w:rPr>
          <w:rFonts w:ascii="仿宋" w:eastAsia="仿宋" w:hAnsi="仿宋" w:hint="eastAsia"/>
          <w:sz w:val="32"/>
          <w:szCs w:val="32"/>
        </w:rPr>
        <w:t>意健险保费正</w:t>
      </w:r>
      <w:proofErr w:type="gramEnd"/>
      <w:r w:rsidR="00890947" w:rsidRPr="00950ACA">
        <w:rPr>
          <w:rFonts w:ascii="仿宋" w:eastAsia="仿宋" w:hAnsi="仿宋" w:hint="eastAsia"/>
          <w:sz w:val="32"/>
          <w:szCs w:val="32"/>
        </w:rPr>
        <w:t>增长，货运险、其他险保费负增长。</w:t>
      </w:r>
      <w:r w:rsidR="00890947" w:rsidRPr="00950ACA">
        <w:rPr>
          <w:rFonts w:ascii="仿宋" w:eastAsia="仿宋" w:hAnsi="仿宋" w:hint="eastAsia"/>
          <w:b/>
          <w:bCs/>
          <w:sz w:val="32"/>
          <w:szCs w:val="32"/>
        </w:rPr>
        <w:t>货运险：</w:t>
      </w:r>
      <w:r w:rsidR="00890947" w:rsidRPr="00950ACA">
        <w:rPr>
          <w:rFonts w:ascii="仿宋" w:eastAsia="仿宋" w:hAnsi="仿宋" w:hint="eastAsia"/>
          <w:sz w:val="32"/>
          <w:szCs w:val="32"/>
        </w:rPr>
        <w:t>保费</w:t>
      </w:r>
      <w:r w:rsidR="00720581" w:rsidRPr="00950ACA">
        <w:rPr>
          <w:rFonts w:ascii="仿宋" w:eastAsia="仿宋" w:hAnsi="仿宋" w:hint="eastAsia"/>
          <w:sz w:val="32"/>
          <w:szCs w:val="32"/>
        </w:rPr>
        <w:t>212</w:t>
      </w:r>
      <w:r w:rsidR="00890947" w:rsidRPr="00950ACA">
        <w:rPr>
          <w:rFonts w:ascii="仿宋" w:eastAsia="仿宋" w:hAnsi="仿宋" w:hint="eastAsia"/>
          <w:sz w:val="32"/>
          <w:szCs w:val="32"/>
        </w:rPr>
        <w:t>万，同比减少</w:t>
      </w:r>
      <w:r w:rsidR="00720581" w:rsidRPr="00950ACA">
        <w:rPr>
          <w:rFonts w:ascii="仿宋" w:eastAsia="仿宋" w:hAnsi="仿宋" w:hint="eastAsia"/>
          <w:sz w:val="32"/>
          <w:szCs w:val="32"/>
        </w:rPr>
        <w:t>113</w:t>
      </w:r>
      <w:r w:rsidR="00890947" w:rsidRPr="00950ACA">
        <w:rPr>
          <w:rFonts w:ascii="仿宋" w:eastAsia="仿宋" w:hAnsi="仿宋" w:hint="eastAsia"/>
          <w:sz w:val="32"/>
          <w:szCs w:val="32"/>
        </w:rPr>
        <w:t>万，降幅</w:t>
      </w:r>
      <w:r w:rsidR="00720581" w:rsidRPr="00950ACA">
        <w:rPr>
          <w:rFonts w:ascii="仿宋" w:eastAsia="仿宋" w:hAnsi="仿宋" w:hint="eastAsia"/>
          <w:sz w:val="32"/>
          <w:szCs w:val="32"/>
        </w:rPr>
        <w:t>34.94</w:t>
      </w:r>
      <w:r w:rsidR="00890947" w:rsidRPr="00950ACA">
        <w:rPr>
          <w:rFonts w:ascii="仿宋" w:eastAsia="仿宋" w:hAnsi="仿宋" w:hint="eastAsia"/>
          <w:sz w:val="32"/>
          <w:szCs w:val="32"/>
        </w:rPr>
        <w:t>%；</w:t>
      </w:r>
      <w:r w:rsidR="00890947" w:rsidRPr="00950ACA">
        <w:rPr>
          <w:rFonts w:ascii="仿宋" w:eastAsia="仿宋" w:hAnsi="仿宋" w:hint="eastAsia"/>
          <w:b/>
          <w:bCs/>
          <w:sz w:val="32"/>
          <w:szCs w:val="32"/>
        </w:rPr>
        <w:t>其他险：</w:t>
      </w:r>
      <w:r w:rsidR="00890947" w:rsidRPr="00950ACA">
        <w:rPr>
          <w:rFonts w:ascii="仿宋" w:eastAsia="仿宋" w:hAnsi="仿宋" w:hint="eastAsia"/>
          <w:sz w:val="32"/>
          <w:szCs w:val="32"/>
        </w:rPr>
        <w:t>保费</w:t>
      </w:r>
      <w:r w:rsidR="00720581" w:rsidRPr="00950ACA">
        <w:rPr>
          <w:rFonts w:ascii="仿宋" w:eastAsia="仿宋" w:hAnsi="仿宋" w:hint="eastAsia"/>
          <w:sz w:val="32"/>
          <w:szCs w:val="32"/>
        </w:rPr>
        <w:t>2511</w:t>
      </w:r>
      <w:r w:rsidR="00890947" w:rsidRPr="00950ACA">
        <w:rPr>
          <w:rFonts w:ascii="仿宋" w:eastAsia="仿宋" w:hAnsi="仿宋" w:hint="eastAsia"/>
          <w:sz w:val="32"/>
          <w:szCs w:val="32"/>
        </w:rPr>
        <w:t>万，同比减少</w:t>
      </w:r>
      <w:r w:rsidR="00720581" w:rsidRPr="00950ACA">
        <w:rPr>
          <w:rFonts w:ascii="仿宋" w:eastAsia="仿宋" w:hAnsi="仿宋" w:hint="eastAsia"/>
          <w:sz w:val="32"/>
          <w:szCs w:val="32"/>
        </w:rPr>
        <w:t>1808</w:t>
      </w:r>
      <w:r w:rsidR="00890947" w:rsidRPr="00950ACA">
        <w:rPr>
          <w:rFonts w:ascii="仿宋" w:eastAsia="仿宋" w:hAnsi="仿宋" w:hint="eastAsia"/>
          <w:sz w:val="32"/>
          <w:szCs w:val="32"/>
        </w:rPr>
        <w:t>万</w:t>
      </w:r>
      <w:r w:rsidR="00950ACA" w:rsidRPr="00950ACA">
        <w:rPr>
          <w:rFonts w:ascii="仿宋" w:eastAsia="仿宋" w:hAnsi="仿宋" w:hint="eastAsia"/>
          <w:sz w:val="32"/>
          <w:szCs w:val="32"/>
        </w:rPr>
        <w:t>，降幅41.86%</w:t>
      </w:r>
      <w:r w:rsidR="00890947" w:rsidRPr="00950ACA">
        <w:rPr>
          <w:rFonts w:ascii="仿宋" w:eastAsia="仿宋" w:hAnsi="仿宋" w:hint="eastAsia"/>
          <w:sz w:val="32"/>
          <w:szCs w:val="32"/>
        </w:rPr>
        <w:t>。其中：船舶险保费</w:t>
      </w:r>
      <w:r w:rsidR="00950ACA" w:rsidRPr="00950ACA">
        <w:rPr>
          <w:rFonts w:ascii="仿宋" w:eastAsia="仿宋" w:hAnsi="仿宋" w:hint="eastAsia"/>
          <w:sz w:val="32"/>
          <w:szCs w:val="32"/>
        </w:rPr>
        <w:t>243</w:t>
      </w:r>
      <w:r w:rsidR="00890947" w:rsidRPr="00950ACA">
        <w:rPr>
          <w:rFonts w:ascii="仿宋" w:eastAsia="仿宋" w:hAnsi="仿宋" w:hint="eastAsia"/>
          <w:sz w:val="32"/>
          <w:szCs w:val="32"/>
        </w:rPr>
        <w:t>万，同比增加</w:t>
      </w:r>
      <w:r w:rsidR="00950ACA" w:rsidRPr="00950ACA">
        <w:rPr>
          <w:rFonts w:ascii="仿宋" w:eastAsia="仿宋" w:hAnsi="仿宋" w:hint="eastAsia"/>
          <w:sz w:val="32"/>
          <w:szCs w:val="32"/>
        </w:rPr>
        <w:t>115</w:t>
      </w:r>
      <w:r w:rsidR="00890947" w:rsidRPr="00950ACA">
        <w:rPr>
          <w:rFonts w:ascii="仿宋" w:eastAsia="仿宋" w:hAnsi="仿宋" w:hint="eastAsia"/>
          <w:sz w:val="32"/>
          <w:szCs w:val="32"/>
        </w:rPr>
        <w:t>万，增幅</w:t>
      </w:r>
      <w:r w:rsidR="00950ACA" w:rsidRPr="00950ACA">
        <w:rPr>
          <w:rFonts w:ascii="仿宋" w:eastAsia="仿宋" w:hAnsi="仿宋" w:hint="eastAsia"/>
          <w:sz w:val="32"/>
          <w:szCs w:val="32"/>
        </w:rPr>
        <w:t>89.72</w:t>
      </w:r>
      <w:r w:rsidR="00890947" w:rsidRPr="00950ACA">
        <w:rPr>
          <w:rFonts w:ascii="仿宋" w:eastAsia="仿宋" w:hAnsi="仿宋" w:hint="eastAsia"/>
          <w:sz w:val="32"/>
          <w:szCs w:val="32"/>
        </w:rPr>
        <w:t>%；工程险保费</w:t>
      </w:r>
      <w:r w:rsidR="00950ACA" w:rsidRPr="00950ACA">
        <w:rPr>
          <w:rFonts w:ascii="仿宋" w:eastAsia="仿宋" w:hAnsi="仿宋" w:hint="eastAsia"/>
          <w:sz w:val="32"/>
          <w:szCs w:val="32"/>
        </w:rPr>
        <w:t>38</w:t>
      </w:r>
      <w:r w:rsidR="00890947" w:rsidRPr="00950ACA">
        <w:rPr>
          <w:rFonts w:ascii="仿宋" w:eastAsia="仿宋" w:hAnsi="仿宋" w:hint="eastAsia"/>
          <w:sz w:val="32"/>
          <w:szCs w:val="32"/>
        </w:rPr>
        <w:t>万，同比减少</w:t>
      </w:r>
      <w:r w:rsidR="00950ACA" w:rsidRPr="00950ACA">
        <w:rPr>
          <w:rFonts w:ascii="仿宋" w:eastAsia="仿宋" w:hAnsi="仿宋" w:hint="eastAsia"/>
          <w:sz w:val="32"/>
          <w:szCs w:val="32"/>
        </w:rPr>
        <w:t>367</w:t>
      </w:r>
      <w:r w:rsidR="00890947" w:rsidRPr="00950ACA">
        <w:rPr>
          <w:rFonts w:ascii="仿宋" w:eastAsia="仿宋" w:hAnsi="仿宋" w:hint="eastAsia"/>
          <w:sz w:val="32"/>
          <w:szCs w:val="32"/>
        </w:rPr>
        <w:t>万，降幅</w:t>
      </w:r>
      <w:r w:rsidR="00950ACA" w:rsidRPr="00950ACA">
        <w:rPr>
          <w:rFonts w:ascii="仿宋" w:eastAsia="仿宋" w:hAnsi="仿宋" w:hint="eastAsia"/>
          <w:sz w:val="32"/>
          <w:szCs w:val="32"/>
        </w:rPr>
        <w:t>90.54</w:t>
      </w:r>
      <w:r w:rsidR="00890947" w:rsidRPr="00950ACA">
        <w:rPr>
          <w:rFonts w:ascii="仿宋" w:eastAsia="仿宋" w:hAnsi="仿宋" w:hint="eastAsia"/>
          <w:sz w:val="32"/>
          <w:szCs w:val="32"/>
        </w:rPr>
        <w:t>%；信用保证险保费</w:t>
      </w:r>
      <w:r w:rsidR="00950ACA" w:rsidRPr="00950ACA">
        <w:rPr>
          <w:rFonts w:ascii="仿宋" w:eastAsia="仿宋" w:hAnsi="仿宋" w:hint="eastAsia"/>
          <w:sz w:val="32"/>
          <w:szCs w:val="32"/>
        </w:rPr>
        <w:t>1890</w:t>
      </w:r>
      <w:r w:rsidR="00890947" w:rsidRPr="00950ACA">
        <w:rPr>
          <w:rFonts w:ascii="仿宋" w:eastAsia="仿宋" w:hAnsi="仿宋" w:hint="eastAsia"/>
          <w:sz w:val="32"/>
          <w:szCs w:val="32"/>
        </w:rPr>
        <w:t>万，同比减少</w:t>
      </w:r>
      <w:r w:rsidR="00950ACA" w:rsidRPr="00950ACA">
        <w:rPr>
          <w:rFonts w:ascii="仿宋" w:eastAsia="仿宋" w:hAnsi="仿宋" w:hint="eastAsia"/>
          <w:sz w:val="32"/>
          <w:szCs w:val="32"/>
        </w:rPr>
        <w:t>1868</w:t>
      </w:r>
      <w:r w:rsidR="00890947" w:rsidRPr="00950ACA">
        <w:rPr>
          <w:rFonts w:ascii="仿宋" w:eastAsia="仿宋" w:hAnsi="仿宋" w:hint="eastAsia"/>
          <w:sz w:val="32"/>
          <w:szCs w:val="32"/>
        </w:rPr>
        <w:t>万，降幅</w:t>
      </w:r>
      <w:r w:rsidR="00950ACA" w:rsidRPr="00950ACA">
        <w:rPr>
          <w:rFonts w:ascii="仿宋" w:eastAsia="仿宋" w:hAnsi="仿宋" w:hint="eastAsia"/>
          <w:sz w:val="32"/>
          <w:szCs w:val="32"/>
        </w:rPr>
        <w:t xml:space="preserve">49.71 </w:t>
      </w:r>
      <w:r w:rsidR="00890947" w:rsidRPr="00950ACA">
        <w:rPr>
          <w:rFonts w:ascii="仿宋" w:eastAsia="仿宋" w:hAnsi="仿宋" w:hint="eastAsia"/>
          <w:sz w:val="32"/>
          <w:szCs w:val="32"/>
        </w:rPr>
        <w:t>%。</w:t>
      </w:r>
    </w:p>
    <w:p w:rsidR="000207F5" w:rsidRDefault="00720581" w:rsidP="00FB3C2F">
      <w:pPr>
        <w:rPr>
          <w:rFonts w:ascii="仿宋" w:eastAsia="仿宋" w:hAnsi="仿宋"/>
          <w:sz w:val="32"/>
          <w:szCs w:val="32"/>
        </w:rPr>
      </w:pPr>
      <w:r>
        <w:rPr>
          <w:noProof/>
        </w:rPr>
        <w:lastRenderedPageBreak/>
        <w:drawing>
          <wp:inline distT="0" distB="0" distL="0" distR="0" wp14:anchorId="2AF21D1B" wp14:editId="5FF75D03">
            <wp:extent cx="5274310" cy="2367945"/>
            <wp:effectExtent l="0" t="0" r="21590" b="13335"/>
            <wp:docPr id="27" name="图表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0207F5" w:rsidRPr="000B3E56" w:rsidRDefault="000B3E56" w:rsidP="000B3E56">
      <w:pPr>
        <w:ind w:leftChars="150" w:left="315" w:firstLineChars="100" w:firstLine="321"/>
        <w:rPr>
          <w:rFonts w:ascii="仿宋" w:eastAsia="仿宋" w:hAnsi="仿宋"/>
          <w:sz w:val="32"/>
          <w:szCs w:val="32"/>
        </w:rPr>
      </w:pPr>
      <w:r>
        <w:rPr>
          <w:rFonts w:ascii="仿宋" w:eastAsia="仿宋" w:hAnsi="仿宋" w:hint="eastAsia"/>
          <w:b/>
          <w:bCs/>
          <w:sz w:val="32"/>
          <w:szCs w:val="32"/>
        </w:rPr>
        <w:t>（六）</w:t>
      </w:r>
      <w:r w:rsidR="000207F5" w:rsidRPr="000B3E56">
        <w:rPr>
          <w:rFonts w:ascii="仿宋" w:eastAsia="仿宋" w:hAnsi="仿宋" w:hint="eastAsia"/>
          <w:b/>
          <w:bCs/>
          <w:sz w:val="32"/>
          <w:szCs w:val="32"/>
        </w:rPr>
        <w:t>县域市场情况</w:t>
      </w:r>
    </w:p>
    <w:p w:rsidR="00167664" w:rsidRPr="000207F5" w:rsidRDefault="000207F5" w:rsidP="00167664">
      <w:pPr>
        <w:ind w:firstLineChars="200" w:firstLine="643"/>
        <w:rPr>
          <w:rFonts w:ascii="仿宋" w:eastAsia="仿宋" w:hAnsi="仿宋"/>
          <w:sz w:val="32"/>
          <w:szCs w:val="32"/>
        </w:rPr>
      </w:pPr>
      <w:r w:rsidRPr="000B3E56">
        <w:rPr>
          <w:rFonts w:ascii="仿宋" w:eastAsia="仿宋" w:hAnsi="仿宋" w:hint="eastAsia"/>
          <w:b/>
          <w:bCs/>
          <w:sz w:val="32"/>
          <w:szCs w:val="32"/>
        </w:rPr>
        <w:t>从</w:t>
      </w:r>
      <w:r w:rsidR="00890947" w:rsidRPr="000B3E56">
        <w:rPr>
          <w:rFonts w:ascii="仿宋" w:eastAsia="仿宋" w:hAnsi="仿宋" w:hint="eastAsia"/>
          <w:b/>
          <w:bCs/>
          <w:sz w:val="32"/>
          <w:szCs w:val="32"/>
        </w:rPr>
        <w:t>县域保费分布</w:t>
      </w:r>
      <w:r w:rsidRPr="000B3E56">
        <w:rPr>
          <w:rFonts w:ascii="仿宋" w:eastAsia="仿宋" w:hAnsi="仿宋" w:hint="eastAsia"/>
          <w:b/>
          <w:bCs/>
          <w:sz w:val="32"/>
          <w:szCs w:val="32"/>
        </w:rPr>
        <w:t>情况看：</w:t>
      </w:r>
      <w:r w:rsidR="00890947" w:rsidRPr="000B3E56">
        <w:rPr>
          <w:rFonts w:ascii="仿宋" w:eastAsia="仿宋" w:hAnsi="仿宋" w:hint="eastAsia"/>
          <w:sz w:val="32"/>
          <w:szCs w:val="32"/>
        </w:rPr>
        <w:t xml:space="preserve"> </w:t>
      </w:r>
      <w:r w:rsidR="00045FB2" w:rsidRPr="000B3E56">
        <w:rPr>
          <w:rFonts w:ascii="仿宋" w:eastAsia="仿宋" w:hAnsi="仿宋" w:hint="eastAsia"/>
          <w:sz w:val="32"/>
          <w:szCs w:val="32"/>
        </w:rPr>
        <w:t>1-9月</w:t>
      </w:r>
      <w:r w:rsidR="00890947" w:rsidRPr="000B3E56">
        <w:rPr>
          <w:rFonts w:ascii="仿宋" w:eastAsia="仿宋" w:hAnsi="仿宋" w:hint="eastAsia"/>
          <w:sz w:val="32"/>
          <w:szCs w:val="32"/>
        </w:rPr>
        <w:t>，县域保费</w:t>
      </w:r>
      <w:r w:rsidR="00950ACA" w:rsidRPr="000B3E56">
        <w:rPr>
          <w:rFonts w:ascii="仿宋" w:eastAsia="仿宋" w:hAnsi="仿宋" w:hint="eastAsia"/>
          <w:sz w:val="32"/>
          <w:szCs w:val="32"/>
        </w:rPr>
        <w:t>61772</w:t>
      </w:r>
      <w:r w:rsidR="00890947" w:rsidRPr="000B3E56">
        <w:rPr>
          <w:rFonts w:ascii="仿宋" w:eastAsia="仿宋" w:hAnsi="仿宋" w:hint="eastAsia"/>
          <w:sz w:val="32"/>
          <w:szCs w:val="32"/>
        </w:rPr>
        <w:t>万元，占地区总保费的</w:t>
      </w:r>
      <w:r w:rsidR="00950ACA" w:rsidRPr="000B3E56">
        <w:rPr>
          <w:rFonts w:ascii="仿宋" w:eastAsia="仿宋" w:hAnsi="仿宋" w:hint="eastAsia"/>
          <w:sz w:val="32"/>
          <w:szCs w:val="32"/>
        </w:rPr>
        <w:t>54.36</w:t>
      </w:r>
      <w:r w:rsidR="00890947" w:rsidRPr="000B3E56">
        <w:rPr>
          <w:rFonts w:ascii="仿宋" w:eastAsia="仿宋" w:hAnsi="仿宋" w:hint="eastAsia"/>
          <w:sz w:val="32"/>
          <w:szCs w:val="32"/>
        </w:rPr>
        <w:t>%，同比下降</w:t>
      </w:r>
      <w:r w:rsidR="00464EEA">
        <w:rPr>
          <w:rFonts w:ascii="仿宋" w:eastAsia="仿宋" w:hAnsi="仿宋" w:hint="eastAsia"/>
          <w:sz w:val="32"/>
          <w:szCs w:val="32"/>
        </w:rPr>
        <w:t>0.</w:t>
      </w:r>
      <w:r w:rsidR="00950ACA" w:rsidRPr="000B3E56">
        <w:rPr>
          <w:rFonts w:ascii="仿宋" w:eastAsia="仿宋" w:hAnsi="仿宋" w:hint="eastAsia"/>
          <w:sz w:val="32"/>
          <w:szCs w:val="32"/>
        </w:rPr>
        <w:t>1</w:t>
      </w:r>
      <w:r w:rsidR="00890947" w:rsidRPr="000B3E56">
        <w:rPr>
          <w:rFonts w:ascii="仿宋" w:eastAsia="仿宋" w:hAnsi="仿宋" w:hint="eastAsia"/>
          <w:sz w:val="32"/>
          <w:szCs w:val="32"/>
        </w:rPr>
        <w:t>个百分点。其中：</w:t>
      </w:r>
      <w:r w:rsidR="00890947" w:rsidRPr="000B3E56">
        <w:rPr>
          <w:rFonts w:ascii="仿宋" w:eastAsia="仿宋" w:hAnsi="仿宋" w:hint="eastAsia"/>
          <w:b/>
          <w:bCs/>
          <w:sz w:val="32"/>
          <w:szCs w:val="32"/>
        </w:rPr>
        <w:t>东港</w:t>
      </w:r>
      <w:r w:rsidR="00890947" w:rsidRPr="000B3E56">
        <w:rPr>
          <w:rFonts w:ascii="仿宋" w:eastAsia="仿宋" w:hAnsi="仿宋" w:hint="eastAsia"/>
          <w:sz w:val="32"/>
          <w:szCs w:val="32"/>
        </w:rPr>
        <w:t>保费</w:t>
      </w:r>
      <w:r w:rsidR="00950ACA" w:rsidRPr="000B3E56">
        <w:rPr>
          <w:rFonts w:ascii="仿宋" w:eastAsia="仿宋" w:hAnsi="仿宋" w:hint="eastAsia"/>
          <w:sz w:val="32"/>
          <w:szCs w:val="32"/>
        </w:rPr>
        <w:t>33360</w:t>
      </w:r>
      <w:r w:rsidR="00890947" w:rsidRPr="000B3E56">
        <w:rPr>
          <w:rFonts w:ascii="仿宋" w:eastAsia="仿宋" w:hAnsi="仿宋" w:hint="eastAsia"/>
          <w:sz w:val="32"/>
          <w:szCs w:val="32"/>
        </w:rPr>
        <w:t>万元，占县域份额</w:t>
      </w:r>
      <w:r w:rsidR="000B3E56" w:rsidRPr="000B3E56">
        <w:rPr>
          <w:rFonts w:ascii="仿宋" w:eastAsia="仿宋" w:hAnsi="仿宋" w:hint="eastAsia"/>
          <w:sz w:val="32"/>
          <w:szCs w:val="32"/>
        </w:rPr>
        <w:t>54</w:t>
      </w:r>
      <w:r w:rsidR="00890947" w:rsidRPr="000B3E56">
        <w:rPr>
          <w:rFonts w:ascii="仿宋" w:eastAsia="仿宋" w:hAnsi="仿宋" w:hint="eastAsia"/>
          <w:sz w:val="32"/>
          <w:szCs w:val="32"/>
        </w:rPr>
        <w:t xml:space="preserve"> %,同比</w:t>
      </w:r>
      <w:r w:rsidR="000B3E56" w:rsidRPr="000B3E56">
        <w:rPr>
          <w:rFonts w:ascii="仿宋" w:eastAsia="仿宋" w:hAnsi="仿宋" w:hint="eastAsia"/>
          <w:sz w:val="32"/>
          <w:szCs w:val="32"/>
        </w:rPr>
        <w:t>上升0.03</w:t>
      </w:r>
      <w:r w:rsidR="00890947" w:rsidRPr="000B3E56">
        <w:rPr>
          <w:rFonts w:ascii="仿宋" w:eastAsia="仿宋" w:hAnsi="仿宋" w:hint="eastAsia"/>
          <w:sz w:val="32"/>
          <w:szCs w:val="32"/>
        </w:rPr>
        <w:t>个百分点；</w:t>
      </w:r>
      <w:r w:rsidR="00890947" w:rsidRPr="000B3E56">
        <w:rPr>
          <w:rFonts w:ascii="仿宋" w:eastAsia="仿宋" w:hAnsi="仿宋" w:hint="eastAsia"/>
          <w:b/>
          <w:bCs/>
          <w:sz w:val="32"/>
          <w:szCs w:val="32"/>
        </w:rPr>
        <w:t>凤城</w:t>
      </w:r>
      <w:r w:rsidR="00890947" w:rsidRPr="000B3E56">
        <w:rPr>
          <w:rFonts w:ascii="仿宋" w:eastAsia="仿宋" w:hAnsi="仿宋" w:hint="eastAsia"/>
          <w:sz w:val="32"/>
          <w:szCs w:val="32"/>
        </w:rPr>
        <w:t>保费</w:t>
      </w:r>
      <w:r w:rsidR="000B3E56" w:rsidRPr="000B3E56">
        <w:rPr>
          <w:rFonts w:ascii="仿宋" w:eastAsia="仿宋" w:hAnsi="仿宋" w:hint="eastAsia"/>
          <w:sz w:val="32"/>
          <w:szCs w:val="32"/>
        </w:rPr>
        <w:t>16547</w:t>
      </w:r>
      <w:r w:rsidR="00890947" w:rsidRPr="000B3E56">
        <w:rPr>
          <w:rFonts w:ascii="仿宋" w:eastAsia="仿宋" w:hAnsi="仿宋" w:hint="eastAsia"/>
          <w:sz w:val="32"/>
          <w:szCs w:val="32"/>
        </w:rPr>
        <w:t>万元，占县域份额</w:t>
      </w:r>
      <w:r w:rsidR="000B3E56" w:rsidRPr="000B3E56">
        <w:rPr>
          <w:rFonts w:ascii="仿宋" w:eastAsia="仿宋" w:hAnsi="仿宋" w:hint="eastAsia"/>
          <w:sz w:val="32"/>
          <w:szCs w:val="32"/>
        </w:rPr>
        <w:t>26.79</w:t>
      </w:r>
      <w:r w:rsidR="00890947" w:rsidRPr="000B3E56">
        <w:rPr>
          <w:rFonts w:ascii="仿宋" w:eastAsia="仿宋" w:hAnsi="仿宋" w:hint="eastAsia"/>
          <w:sz w:val="32"/>
          <w:szCs w:val="32"/>
        </w:rPr>
        <w:t>%，同比</w:t>
      </w:r>
      <w:r w:rsidR="000B3E56" w:rsidRPr="000B3E56">
        <w:rPr>
          <w:rFonts w:ascii="仿宋" w:eastAsia="仿宋" w:hAnsi="仿宋" w:hint="eastAsia"/>
          <w:sz w:val="32"/>
          <w:szCs w:val="32"/>
        </w:rPr>
        <w:t>下降0.23</w:t>
      </w:r>
      <w:r w:rsidR="00890947" w:rsidRPr="000B3E56">
        <w:rPr>
          <w:rFonts w:ascii="仿宋" w:eastAsia="仿宋" w:hAnsi="仿宋" w:hint="eastAsia"/>
          <w:sz w:val="32"/>
          <w:szCs w:val="32"/>
        </w:rPr>
        <w:t>个百分点；</w:t>
      </w:r>
      <w:r w:rsidR="00890947" w:rsidRPr="000B3E56">
        <w:rPr>
          <w:rFonts w:ascii="仿宋" w:eastAsia="仿宋" w:hAnsi="仿宋" w:hint="eastAsia"/>
          <w:b/>
          <w:bCs/>
          <w:sz w:val="32"/>
          <w:szCs w:val="32"/>
        </w:rPr>
        <w:t>宽甸</w:t>
      </w:r>
      <w:r w:rsidR="00890947" w:rsidRPr="000B3E56">
        <w:rPr>
          <w:rFonts w:ascii="仿宋" w:eastAsia="仿宋" w:hAnsi="仿宋" w:hint="eastAsia"/>
          <w:sz w:val="32"/>
          <w:szCs w:val="32"/>
        </w:rPr>
        <w:t>保费</w:t>
      </w:r>
      <w:r w:rsidR="000B3E56" w:rsidRPr="000B3E56">
        <w:rPr>
          <w:rFonts w:ascii="仿宋" w:eastAsia="仿宋" w:hAnsi="仿宋" w:hint="eastAsia"/>
          <w:sz w:val="32"/>
          <w:szCs w:val="32"/>
        </w:rPr>
        <w:t>11865</w:t>
      </w:r>
      <w:r w:rsidR="00890947" w:rsidRPr="000B3E56">
        <w:rPr>
          <w:rFonts w:ascii="仿宋" w:eastAsia="仿宋" w:hAnsi="仿宋" w:hint="eastAsia"/>
          <w:sz w:val="32"/>
          <w:szCs w:val="32"/>
        </w:rPr>
        <w:t>万，占县域份额</w:t>
      </w:r>
      <w:r w:rsidR="000B3E56" w:rsidRPr="000B3E56">
        <w:rPr>
          <w:rFonts w:ascii="仿宋" w:eastAsia="仿宋" w:hAnsi="仿宋" w:hint="eastAsia"/>
          <w:sz w:val="32"/>
          <w:szCs w:val="32"/>
        </w:rPr>
        <w:t>19.21</w:t>
      </w:r>
      <w:r w:rsidR="00890947" w:rsidRPr="000B3E56">
        <w:rPr>
          <w:rFonts w:ascii="仿宋" w:eastAsia="仿宋" w:hAnsi="仿宋" w:hint="eastAsia"/>
          <w:sz w:val="32"/>
          <w:szCs w:val="32"/>
        </w:rPr>
        <w:t>%，同比提升</w:t>
      </w:r>
      <w:r w:rsidR="000B3E56" w:rsidRPr="000B3E56">
        <w:rPr>
          <w:rFonts w:ascii="仿宋" w:eastAsia="仿宋" w:hAnsi="仿宋" w:hint="eastAsia"/>
          <w:sz w:val="32"/>
          <w:szCs w:val="32"/>
        </w:rPr>
        <w:t>0.2</w:t>
      </w:r>
      <w:r w:rsidR="00890947" w:rsidRPr="000B3E56">
        <w:rPr>
          <w:rFonts w:ascii="仿宋" w:eastAsia="仿宋" w:hAnsi="仿宋" w:hint="eastAsia"/>
          <w:sz w:val="32"/>
          <w:szCs w:val="32"/>
        </w:rPr>
        <w:t>个百分点。</w:t>
      </w:r>
    </w:p>
    <w:p w:rsidR="000207F5" w:rsidRDefault="000B3E56" w:rsidP="00FB3C2F">
      <w:pPr>
        <w:rPr>
          <w:rFonts w:ascii="仿宋" w:eastAsia="仿宋" w:hAnsi="仿宋"/>
          <w:sz w:val="32"/>
          <w:szCs w:val="32"/>
        </w:rPr>
      </w:pPr>
      <w:r>
        <w:rPr>
          <w:noProof/>
        </w:rPr>
        <w:drawing>
          <wp:inline distT="0" distB="0" distL="0" distR="0" wp14:anchorId="25CD0FE1" wp14:editId="2490F701">
            <wp:extent cx="5229225" cy="2743200"/>
            <wp:effectExtent l="0" t="0" r="9525" b="19050"/>
            <wp:docPr id="31" name="图表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B52ADD" w:rsidRPr="000207F5" w:rsidRDefault="000207F5" w:rsidP="000207F5">
      <w:pPr>
        <w:ind w:firstLineChars="200" w:firstLine="643"/>
        <w:rPr>
          <w:rFonts w:ascii="仿宋" w:eastAsia="仿宋" w:hAnsi="仿宋"/>
          <w:sz w:val="32"/>
          <w:szCs w:val="32"/>
        </w:rPr>
      </w:pPr>
      <w:r>
        <w:rPr>
          <w:rFonts w:ascii="仿宋" w:eastAsia="仿宋" w:hAnsi="仿宋" w:hint="eastAsia"/>
          <w:b/>
          <w:bCs/>
          <w:sz w:val="32"/>
          <w:szCs w:val="32"/>
        </w:rPr>
        <w:t>从</w:t>
      </w:r>
      <w:r w:rsidR="00890947" w:rsidRPr="000207F5">
        <w:rPr>
          <w:rFonts w:ascii="仿宋" w:eastAsia="仿宋" w:hAnsi="仿宋" w:hint="eastAsia"/>
          <w:b/>
          <w:bCs/>
          <w:sz w:val="32"/>
          <w:szCs w:val="32"/>
        </w:rPr>
        <w:t>县域</w:t>
      </w:r>
      <w:r>
        <w:rPr>
          <w:rFonts w:ascii="仿宋" w:eastAsia="仿宋" w:hAnsi="仿宋" w:hint="eastAsia"/>
          <w:b/>
          <w:bCs/>
          <w:sz w:val="32"/>
          <w:szCs w:val="32"/>
        </w:rPr>
        <w:t>保费</w:t>
      </w:r>
      <w:r w:rsidR="00890947" w:rsidRPr="000207F5">
        <w:rPr>
          <w:rFonts w:ascii="仿宋" w:eastAsia="仿宋" w:hAnsi="仿宋" w:hint="eastAsia"/>
          <w:b/>
          <w:bCs/>
          <w:sz w:val="32"/>
          <w:szCs w:val="32"/>
        </w:rPr>
        <w:t>增速</w:t>
      </w:r>
      <w:r>
        <w:rPr>
          <w:rFonts w:ascii="仿宋" w:eastAsia="仿宋" w:hAnsi="仿宋" w:hint="eastAsia"/>
          <w:b/>
          <w:bCs/>
          <w:sz w:val="32"/>
          <w:szCs w:val="32"/>
        </w:rPr>
        <w:t>情况看</w:t>
      </w:r>
      <w:r w:rsidR="00890947" w:rsidRPr="000207F5">
        <w:rPr>
          <w:rFonts w:ascii="仿宋" w:eastAsia="仿宋" w:hAnsi="仿宋" w:hint="eastAsia"/>
          <w:b/>
          <w:bCs/>
          <w:sz w:val="32"/>
          <w:szCs w:val="32"/>
        </w:rPr>
        <w:t>：</w:t>
      </w:r>
      <w:r w:rsidR="00890947" w:rsidRPr="000207F5">
        <w:rPr>
          <w:rFonts w:ascii="仿宋" w:eastAsia="仿宋" w:hAnsi="仿宋" w:hint="eastAsia"/>
          <w:sz w:val="32"/>
          <w:szCs w:val="32"/>
        </w:rPr>
        <w:t xml:space="preserve"> </w:t>
      </w:r>
      <w:r w:rsidR="00045FB2">
        <w:rPr>
          <w:rFonts w:ascii="仿宋" w:eastAsia="仿宋" w:hAnsi="仿宋" w:hint="eastAsia"/>
          <w:sz w:val="32"/>
          <w:szCs w:val="32"/>
        </w:rPr>
        <w:t>1-9月</w:t>
      </w:r>
      <w:r w:rsidR="00890947" w:rsidRPr="000207F5">
        <w:rPr>
          <w:rFonts w:ascii="仿宋" w:eastAsia="仿宋" w:hAnsi="仿宋" w:hint="eastAsia"/>
          <w:sz w:val="32"/>
          <w:szCs w:val="32"/>
        </w:rPr>
        <w:t>，县域整体保费增速</w:t>
      </w:r>
      <w:r w:rsidR="008A2D39">
        <w:rPr>
          <w:rFonts w:ascii="仿宋" w:eastAsia="仿宋" w:hAnsi="仿宋" w:hint="eastAsia"/>
          <w:sz w:val="32"/>
          <w:szCs w:val="32"/>
        </w:rPr>
        <w:t>11.45</w:t>
      </w:r>
      <w:r w:rsidR="00890947" w:rsidRPr="000207F5">
        <w:rPr>
          <w:rFonts w:ascii="仿宋" w:eastAsia="仿宋" w:hAnsi="仿宋" w:hint="eastAsia"/>
          <w:sz w:val="32"/>
          <w:szCs w:val="32"/>
        </w:rPr>
        <w:t>%，同比</w:t>
      </w:r>
      <w:r w:rsidR="008A2D39">
        <w:rPr>
          <w:rFonts w:ascii="仿宋" w:eastAsia="仿宋" w:hAnsi="仿宋" w:hint="eastAsia"/>
          <w:sz w:val="32"/>
          <w:szCs w:val="32"/>
        </w:rPr>
        <w:t>下降1.78</w:t>
      </w:r>
      <w:r w:rsidR="00890947" w:rsidRPr="000207F5">
        <w:rPr>
          <w:rFonts w:ascii="仿宋" w:eastAsia="仿宋" w:hAnsi="仿宋" w:hint="eastAsia"/>
          <w:sz w:val="32"/>
          <w:szCs w:val="32"/>
        </w:rPr>
        <w:t>个百分点。</w:t>
      </w:r>
      <w:r w:rsidR="00890947" w:rsidRPr="000207F5">
        <w:rPr>
          <w:rFonts w:ascii="仿宋" w:eastAsia="仿宋" w:hAnsi="仿宋" w:hint="eastAsia"/>
          <w:b/>
          <w:bCs/>
          <w:sz w:val="32"/>
          <w:szCs w:val="32"/>
        </w:rPr>
        <w:t>东港</w:t>
      </w:r>
      <w:r w:rsidR="00890947" w:rsidRPr="000207F5">
        <w:rPr>
          <w:rFonts w:ascii="仿宋" w:eastAsia="仿宋" w:hAnsi="仿宋" w:hint="eastAsia"/>
          <w:sz w:val="32"/>
          <w:szCs w:val="32"/>
        </w:rPr>
        <w:t>增速</w:t>
      </w:r>
      <w:r w:rsidR="008A2D39">
        <w:rPr>
          <w:rFonts w:ascii="仿宋" w:eastAsia="仿宋" w:hAnsi="仿宋" w:hint="eastAsia"/>
          <w:sz w:val="32"/>
          <w:szCs w:val="32"/>
        </w:rPr>
        <w:t>11.5</w:t>
      </w:r>
      <w:r w:rsidR="00890947" w:rsidRPr="000207F5">
        <w:rPr>
          <w:rFonts w:ascii="仿宋" w:eastAsia="仿宋" w:hAnsi="仿宋" w:hint="eastAsia"/>
          <w:sz w:val="32"/>
          <w:szCs w:val="32"/>
        </w:rPr>
        <w:t>%，同比下</w:t>
      </w:r>
      <w:r w:rsidR="00890947" w:rsidRPr="000207F5">
        <w:rPr>
          <w:rFonts w:ascii="仿宋" w:eastAsia="仿宋" w:hAnsi="仿宋" w:hint="eastAsia"/>
          <w:sz w:val="32"/>
          <w:szCs w:val="32"/>
        </w:rPr>
        <w:lastRenderedPageBreak/>
        <w:t>降</w:t>
      </w:r>
      <w:r w:rsidR="008A2D39">
        <w:rPr>
          <w:rFonts w:ascii="仿宋" w:eastAsia="仿宋" w:hAnsi="仿宋" w:hint="eastAsia"/>
          <w:sz w:val="32"/>
          <w:szCs w:val="32"/>
        </w:rPr>
        <w:t>2.17</w:t>
      </w:r>
      <w:r w:rsidR="00890947" w:rsidRPr="000207F5">
        <w:rPr>
          <w:rFonts w:ascii="仿宋" w:eastAsia="仿宋" w:hAnsi="仿宋" w:hint="eastAsia"/>
          <w:sz w:val="32"/>
          <w:szCs w:val="32"/>
        </w:rPr>
        <w:t>个百分点；</w:t>
      </w:r>
      <w:r w:rsidR="00890947" w:rsidRPr="000207F5">
        <w:rPr>
          <w:rFonts w:ascii="仿宋" w:eastAsia="仿宋" w:hAnsi="仿宋" w:hint="eastAsia"/>
          <w:b/>
          <w:bCs/>
          <w:sz w:val="32"/>
          <w:szCs w:val="32"/>
        </w:rPr>
        <w:t>凤城</w:t>
      </w:r>
      <w:r w:rsidR="00890947" w:rsidRPr="000207F5">
        <w:rPr>
          <w:rFonts w:ascii="仿宋" w:eastAsia="仿宋" w:hAnsi="仿宋" w:hint="eastAsia"/>
          <w:sz w:val="32"/>
          <w:szCs w:val="32"/>
        </w:rPr>
        <w:t>增速</w:t>
      </w:r>
      <w:r w:rsidR="008A2D39">
        <w:rPr>
          <w:rFonts w:ascii="仿宋" w:eastAsia="仿宋" w:hAnsi="仿宋" w:hint="eastAsia"/>
          <w:sz w:val="32"/>
          <w:szCs w:val="32"/>
        </w:rPr>
        <w:t>10.51</w:t>
      </w:r>
      <w:r w:rsidR="00890947" w:rsidRPr="000207F5">
        <w:rPr>
          <w:rFonts w:ascii="仿宋" w:eastAsia="仿宋" w:hAnsi="仿宋" w:hint="eastAsia"/>
          <w:sz w:val="32"/>
          <w:szCs w:val="32"/>
        </w:rPr>
        <w:t>%，同比</w:t>
      </w:r>
      <w:r w:rsidR="008A2D39">
        <w:rPr>
          <w:rFonts w:ascii="仿宋" w:eastAsia="仿宋" w:hAnsi="仿宋" w:hint="eastAsia"/>
          <w:sz w:val="32"/>
          <w:szCs w:val="32"/>
        </w:rPr>
        <w:t>下降1.79</w:t>
      </w:r>
      <w:r w:rsidR="00890947" w:rsidRPr="000207F5">
        <w:rPr>
          <w:rFonts w:ascii="仿宋" w:eastAsia="仿宋" w:hAnsi="仿宋" w:hint="eastAsia"/>
          <w:sz w:val="32"/>
          <w:szCs w:val="32"/>
        </w:rPr>
        <w:t>个百分点；</w:t>
      </w:r>
      <w:r w:rsidR="00890947" w:rsidRPr="000207F5">
        <w:rPr>
          <w:rFonts w:ascii="仿宋" w:eastAsia="仿宋" w:hAnsi="仿宋" w:hint="eastAsia"/>
          <w:b/>
          <w:bCs/>
          <w:sz w:val="32"/>
          <w:szCs w:val="32"/>
        </w:rPr>
        <w:t>宽甸</w:t>
      </w:r>
      <w:r w:rsidR="00890947" w:rsidRPr="000207F5">
        <w:rPr>
          <w:rFonts w:ascii="仿宋" w:eastAsia="仿宋" w:hAnsi="仿宋" w:hint="eastAsia"/>
          <w:sz w:val="32"/>
          <w:szCs w:val="32"/>
        </w:rPr>
        <w:t>增速</w:t>
      </w:r>
      <w:r w:rsidR="008A2D39">
        <w:rPr>
          <w:rFonts w:ascii="仿宋" w:eastAsia="仿宋" w:hAnsi="仿宋" w:hint="eastAsia"/>
          <w:sz w:val="32"/>
          <w:szCs w:val="32"/>
        </w:rPr>
        <w:t>12.63</w:t>
      </w:r>
      <w:r w:rsidR="00890947" w:rsidRPr="000207F5">
        <w:rPr>
          <w:rFonts w:ascii="仿宋" w:eastAsia="仿宋" w:hAnsi="仿宋" w:hint="eastAsia"/>
          <w:sz w:val="32"/>
          <w:szCs w:val="32"/>
        </w:rPr>
        <w:t xml:space="preserve"> %，同比</w:t>
      </w:r>
      <w:r w:rsidR="008A2D39">
        <w:rPr>
          <w:rFonts w:ascii="仿宋" w:eastAsia="仿宋" w:hAnsi="仿宋" w:hint="eastAsia"/>
          <w:sz w:val="32"/>
          <w:szCs w:val="32"/>
        </w:rPr>
        <w:t>下降0.67</w:t>
      </w:r>
      <w:r w:rsidR="00890947" w:rsidRPr="000207F5">
        <w:rPr>
          <w:rFonts w:ascii="仿宋" w:eastAsia="仿宋" w:hAnsi="仿宋" w:hint="eastAsia"/>
          <w:sz w:val="32"/>
          <w:szCs w:val="32"/>
        </w:rPr>
        <w:t>个百分点。</w:t>
      </w:r>
    </w:p>
    <w:p w:rsidR="00B52ADD" w:rsidRPr="00CB7E90" w:rsidRDefault="000651B2" w:rsidP="000651B2">
      <w:pPr>
        <w:ind w:firstLineChars="200" w:firstLine="643"/>
        <w:rPr>
          <w:rFonts w:ascii="仿宋" w:eastAsia="仿宋" w:hAnsi="仿宋"/>
          <w:sz w:val="32"/>
          <w:szCs w:val="32"/>
        </w:rPr>
      </w:pPr>
      <w:r w:rsidRPr="00416ABB">
        <w:rPr>
          <w:rFonts w:ascii="仿宋" w:eastAsia="仿宋" w:hAnsi="仿宋" w:hint="eastAsia"/>
          <w:b/>
          <w:bCs/>
          <w:sz w:val="32"/>
          <w:szCs w:val="32"/>
        </w:rPr>
        <w:t>从</w:t>
      </w:r>
      <w:r w:rsidR="00890947" w:rsidRPr="00416ABB">
        <w:rPr>
          <w:rFonts w:ascii="仿宋" w:eastAsia="仿宋" w:hAnsi="仿宋" w:hint="eastAsia"/>
          <w:b/>
          <w:bCs/>
          <w:sz w:val="32"/>
          <w:szCs w:val="32"/>
        </w:rPr>
        <w:t>县域险种</w:t>
      </w:r>
      <w:r w:rsidRPr="00416ABB">
        <w:rPr>
          <w:rFonts w:ascii="仿宋" w:eastAsia="仿宋" w:hAnsi="仿宋" w:hint="eastAsia"/>
          <w:b/>
          <w:bCs/>
          <w:sz w:val="32"/>
          <w:szCs w:val="32"/>
        </w:rPr>
        <w:t>情况看</w:t>
      </w:r>
      <w:r w:rsidR="00890947" w:rsidRPr="00416ABB">
        <w:rPr>
          <w:rFonts w:ascii="仿宋" w:eastAsia="仿宋" w:hAnsi="仿宋" w:hint="eastAsia"/>
          <w:b/>
          <w:bCs/>
          <w:sz w:val="32"/>
          <w:szCs w:val="32"/>
        </w:rPr>
        <w:t>：县域车险</w:t>
      </w:r>
      <w:r w:rsidR="00890947" w:rsidRPr="00416ABB">
        <w:rPr>
          <w:rFonts w:ascii="仿宋" w:eastAsia="仿宋" w:hAnsi="仿宋" w:hint="eastAsia"/>
          <w:sz w:val="32"/>
          <w:szCs w:val="32"/>
        </w:rPr>
        <w:t>保费收入</w:t>
      </w:r>
      <w:r w:rsidR="007D7D5A" w:rsidRPr="00416ABB">
        <w:rPr>
          <w:rFonts w:ascii="仿宋" w:eastAsia="仿宋" w:hAnsi="仿宋" w:hint="eastAsia"/>
          <w:sz w:val="32"/>
          <w:szCs w:val="32"/>
        </w:rPr>
        <w:t>36283</w:t>
      </w:r>
      <w:r w:rsidR="00890947" w:rsidRPr="00416ABB">
        <w:rPr>
          <w:rFonts w:ascii="仿宋" w:eastAsia="仿宋" w:hAnsi="仿宋" w:hint="eastAsia"/>
          <w:sz w:val="32"/>
          <w:szCs w:val="32"/>
        </w:rPr>
        <w:t>万元，增</w:t>
      </w:r>
      <w:r w:rsidR="00890947" w:rsidRPr="000651B2">
        <w:rPr>
          <w:rFonts w:ascii="仿宋" w:eastAsia="仿宋" w:hAnsi="仿宋" w:hint="eastAsia"/>
          <w:sz w:val="32"/>
          <w:szCs w:val="32"/>
        </w:rPr>
        <w:t>速</w:t>
      </w:r>
      <w:r w:rsidR="007D7D5A">
        <w:rPr>
          <w:rFonts w:ascii="仿宋" w:eastAsia="仿宋" w:hAnsi="仿宋" w:hint="eastAsia"/>
          <w:sz w:val="32"/>
          <w:szCs w:val="32"/>
        </w:rPr>
        <w:t>0.</w:t>
      </w:r>
      <w:r w:rsidR="007E4BCE">
        <w:rPr>
          <w:rFonts w:ascii="仿宋" w:eastAsia="仿宋" w:hAnsi="仿宋" w:hint="eastAsia"/>
          <w:sz w:val="32"/>
          <w:szCs w:val="32"/>
        </w:rPr>
        <w:t>01</w:t>
      </w:r>
      <w:r w:rsidR="00890947" w:rsidRPr="000651B2">
        <w:rPr>
          <w:rFonts w:ascii="仿宋" w:eastAsia="仿宋" w:hAnsi="仿宋" w:hint="eastAsia"/>
          <w:sz w:val="32"/>
          <w:szCs w:val="32"/>
        </w:rPr>
        <w:t>%，同比下降</w:t>
      </w:r>
      <w:r w:rsidR="007D7D5A">
        <w:rPr>
          <w:rFonts w:ascii="仿宋" w:eastAsia="仿宋" w:hAnsi="仿宋" w:hint="eastAsia"/>
          <w:sz w:val="32"/>
          <w:szCs w:val="32"/>
        </w:rPr>
        <w:t>10.</w:t>
      </w:r>
      <w:r w:rsidR="007E4BCE">
        <w:rPr>
          <w:rFonts w:ascii="仿宋" w:eastAsia="仿宋" w:hAnsi="仿宋" w:hint="eastAsia"/>
          <w:sz w:val="32"/>
          <w:szCs w:val="32"/>
        </w:rPr>
        <w:t>67</w:t>
      </w:r>
      <w:r w:rsidR="00890947" w:rsidRPr="000651B2">
        <w:rPr>
          <w:rFonts w:ascii="仿宋" w:eastAsia="仿宋" w:hAnsi="仿宋" w:hint="eastAsia"/>
          <w:sz w:val="32"/>
          <w:szCs w:val="32"/>
        </w:rPr>
        <w:t>个百分点，份额</w:t>
      </w:r>
      <w:r w:rsidR="007D7D5A">
        <w:rPr>
          <w:rFonts w:ascii="仿宋" w:eastAsia="仿宋" w:hAnsi="仿宋" w:hint="eastAsia"/>
          <w:sz w:val="32"/>
          <w:szCs w:val="32"/>
        </w:rPr>
        <w:t>58.74</w:t>
      </w:r>
      <w:r w:rsidR="00890947" w:rsidRPr="000651B2">
        <w:rPr>
          <w:rFonts w:ascii="仿宋" w:eastAsia="仿宋" w:hAnsi="仿宋" w:hint="eastAsia"/>
          <w:sz w:val="32"/>
          <w:szCs w:val="32"/>
        </w:rPr>
        <w:t>%，同比下降</w:t>
      </w:r>
      <w:r w:rsidR="007D7D5A">
        <w:rPr>
          <w:rFonts w:ascii="仿宋" w:eastAsia="仿宋" w:hAnsi="仿宋" w:hint="eastAsia"/>
          <w:sz w:val="32"/>
          <w:szCs w:val="32"/>
        </w:rPr>
        <w:t>6.72</w:t>
      </w:r>
      <w:r w:rsidR="00890947" w:rsidRPr="000651B2">
        <w:rPr>
          <w:rFonts w:ascii="仿宋" w:eastAsia="仿宋" w:hAnsi="仿宋" w:hint="eastAsia"/>
          <w:sz w:val="32"/>
          <w:szCs w:val="32"/>
        </w:rPr>
        <w:t>个百分点；</w:t>
      </w:r>
      <w:proofErr w:type="gramStart"/>
      <w:r w:rsidR="00890947" w:rsidRPr="000651B2">
        <w:rPr>
          <w:rFonts w:ascii="仿宋" w:eastAsia="仿宋" w:hAnsi="仿宋" w:hint="eastAsia"/>
          <w:b/>
          <w:bCs/>
          <w:sz w:val="32"/>
          <w:szCs w:val="32"/>
        </w:rPr>
        <w:t>县域商非</w:t>
      </w:r>
      <w:r w:rsidR="00890947" w:rsidRPr="000651B2">
        <w:rPr>
          <w:rFonts w:ascii="仿宋" w:eastAsia="仿宋" w:hAnsi="仿宋" w:hint="eastAsia"/>
          <w:sz w:val="32"/>
          <w:szCs w:val="32"/>
        </w:rPr>
        <w:t>保费</w:t>
      </w:r>
      <w:proofErr w:type="gramEnd"/>
      <w:r w:rsidR="00890947" w:rsidRPr="000651B2">
        <w:rPr>
          <w:rFonts w:ascii="仿宋" w:eastAsia="仿宋" w:hAnsi="仿宋" w:hint="eastAsia"/>
          <w:sz w:val="32"/>
          <w:szCs w:val="32"/>
        </w:rPr>
        <w:t>收入</w:t>
      </w:r>
      <w:r w:rsidR="007D7D5A">
        <w:rPr>
          <w:rFonts w:ascii="仿宋" w:eastAsia="仿宋" w:hAnsi="仿宋" w:hint="eastAsia"/>
          <w:sz w:val="32"/>
          <w:szCs w:val="32"/>
        </w:rPr>
        <w:t>9501</w:t>
      </w:r>
      <w:r w:rsidR="00890947" w:rsidRPr="000651B2">
        <w:rPr>
          <w:rFonts w:ascii="仿宋" w:eastAsia="仿宋" w:hAnsi="仿宋" w:hint="eastAsia"/>
          <w:sz w:val="32"/>
          <w:szCs w:val="32"/>
        </w:rPr>
        <w:t>万元，增速</w:t>
      </w:r>
      <w:r w:rsidR="008F72BB">
        <w:rPr>
          <w:rFonts w:ascii="仿宋" w:eastAsia="仿宋" w:hAnsi="仿宋" w:hint="eastAsia"/>
          <w:sz w:val="32"/>
          <w:szCs w:val="32"/>
        </w:rPr>
        <w:t>37.98</w:t>
      </w:r>
      <w:r w:rsidR="00890947" w:rsidRPr="000651B2">
        <w:rPr>
          <w:rFonts w:ascii="仿宋" w:eastAsia="仿宋" w:hAnsi="仿宋" w:hint="eastAsia"/>
          <w:sz w:val="32"/>
          <w:szCs w:val="32"/>
        </w:rPr>
        <w:t>%，同比提升</w:t>
      </w:r>
      <w:r w:rsidR="008F72BB">
        <w:rPr>
          <w:rFonts w:ascii="仿宋" w:eastAsia="仿宋" w:hAnsi="仿宋" w:hint="eastAsia"/>
          <w:sz w:val="32"/>
          <w:szCs w:val="32"/>
        </w:rPr>
        <w:t>21.46</w:t>
      </w:r>
      <w:r w:rsidR="00890947" w:rsidRPr="000651B2">
        <w:rPr>
          <w:rFonts w:ascii="仿宋" w:eastAsia="仿宋" w:hAnsi="仿宋" w:hint="eastAsia"/>
          <w:sz w:val="32"/>
          <w:szCs w:val="32"/>
        </w:rPr>
        <w:t>个百分点，份额</w:t>
      </w:r>
      <w:r w:rsidR="008F72BB">
        <w:rPr>
          <w:rFonts w:ascii="仿宋" w:eastAsia="仿宋" w:hAnsi="仿宋" w:hint="eastAsia"/>
          <w:sz w:val="32"/>
          <w:szCs w:val="32"/>
        </w:rPr>
        <w:t>15.38</w:t>
      </w:r>
      <w:r w:rsidR="00890947" w:rsidRPr="000651B2">
        <w:rPr>
          <w:rFonts w:ascii="仿宋" w:eastAsia="仿宋" w:hAnsi="仿宋" w:hint="eastAsia"/>
          <w:sz w:val="32"/>
          <w:szCs w:val="32"/>
        </w:rPr>
        <w:t>%，同比上升2.</w:t>
      </w:r>
      <w:r w:rsidR="008F72BB">
        <w:rPr>
          <w:rFonts w:ascii="仿宋" w:eastAsia="仿宋" w:hAnsi="仿宋" w:hint="eastAsia"/>
          <w:sz w:val="32"/>
          <w:szCs w:val="32"/>
        </w:rPr>
        <w:t>96</w:t>
      </w:r>
      <w:r w:rsidR="00890947" w:rsidRPr="000651B2">
        <w:rPr>
          <w:rFonts w:ascii="仿宋" w:eastAsia="仿宋" w:hAnsi="仿宋" w:hint="eastAsia"/>
          <w:sz w:val="32"/>
          <w:szCs w:val="32"/>
        </w:rPr>
        <w:t>个百分点；</w:t>
      </w:r>
      <w:r w:rsidR="00890947" w:rsidRPr="00CB7E90">
        <w:rPr>
          <w:rFonts w:ascii="仿宋" w:eastAsia="仿宋" w:hAnsi="仿宋" w:hint="eastAsia"/>
          <w:b/>
          <w:bCs/>
          <w:sz w:val="32"/>
          <w:szCs w:val="32"/>
        </w:rPr>
        <w:t>县域农险</w:t>
      </w:r>
      <w:r w:rsidR="00890947" w:rsidRPr="00CB7E90">
        <w:rPr>
          <w:rFonts w:ascii="仿宋" w:eastAsia="仿宋" w:hAnsi="仿宋" w:hint="eastAsia"/>
          <w:sz w:val="32"/>
          <w:szCs w:val="32"/>
        </w:rPr>
        <w:t>保费15</w:t>
      </w:r>
      <w:r w:rsidR="008F72BB" w:rsidRPr="00CB7E90">
        <w:rPr>
          <w:rFonts w:ascii="仿宋" w:eastAsia="仿宋" w:hAnsi="仿宋" w:hint="eastAsia"/>
          <w:sz w:val="32"/>
          <w:szCs w:val="32"/>
        </w:rPr>
        <w:t>988</w:t>
      </w:r>
      <w:r w:rsidR="00890947" w:rsidRPr="00CB7E90">
        <w:rPr>
          <w:rFonts w:ascii="仿宋" w:eastAsia="仿宋" w:hAnsi="仿宋" w:hint="eastAsia"/>
          <w:sz w:val="32"/>
          <w:szCs w:val="32"/>
        </w:rPr>
        <w:t>万元，增速</w:t>
      </w:r>
      <w:r w:rsidR="008F72BB" w:rsidRPr="00CB7E90">
        <w:rPr>
          <w:rFonts w:ascii="仿宋" w:eastAsia="仿宋" w:hAnsi="仿宋" w:hint="eastAsia"/>
          <w:sz w:val="32"/>
          <w:szCs w:val="32"/>
        </w:rPr>
        <w:t>30.41</w:t>
      </w:r>
      <w:r w:rsidR="00890947" w:rsidRPr="00CB7E90">
        <w:rPr>
          <w:rFonts w:ascii="仿宋" w:eastAsia="仿宋" w:hAnsi="仿宋" w:hint="eastAsia"/>
          <w:sz w:val="32"/>
          <w:szCs w:val="32"/>
        </w:rPr>
        <w:t>%，同比提升10.</w:t>
      </w:r>
      <w:r w:rsidR="00CB7E90" w:rsidRPr="00CB7E90">
        <w:rPr>
          <w:rFonts w:ascii="仿宋" w:eastAsia="仿宋" w:hAnsi="仿宋" w:hint="eastAsia"/>
          <w:sz w:val="32"/>
          <w:szCs w:val="32"/>
        </w:rPr>
        <w:t>95</w:t>
      </w:r>
      <w:r w:rsidR="00890947" w:rsidRPr="00CB7E90">
        <w:rPr>
          <w:rFonts w:ascii="仿宋" w:eastAsia="仿宋" w:hAnsi="仿宋" w:hint="eastAsia"/>
          <w:sz w:val="32"/>
          <w:szCs w:val="32"/>
        </w:rPr>
        <w:t>个百分点，份额</w:t>
      </w:r>
      <w:r w:rsidR="008F72BB" w:rsidRPr="00CB7E90">
        <w:rPr>
          <w:rFonts w:ascii="仿宋" w:eastAsia="仿宋" w:hAnsi="仿宋" w:hint="eastAsia"/>
          <w:sz w:val="32"/>
          <w:szCs w:val="32"/>
        </w:rPr>
        <w:t>25.88</w:t>
      </w:r>
      <w:r w:rsidR="00890947" w:rsidRPr="00CB7E90">
        <w:rPr>
          <w:rFonts w:ascii="仿宋" w:eastAsia="仿宋" w:hAnsi="仿宋" w:hint="eastAsia"/>
          <w:sz w:val="32"/>
          <w:szCs w:val="32"/>
        </w:rPr>
        <w:t>% ，同比上升</w:t>
      </w:r>
      <w:r w:rsidR="008F72BB" w:rsidRPr="00CB7E90">
        <w:rPr>
          <w:rFonts w:ascii="仿宋" w:eastAsia="仿宋" w:hAnsi="仿宋" w:hint="eastAsia"/>
          <w:sz w:val="32"/>
          <w:szCs w:val="32"/>
        </w:rPr>
        <w:t>3.76</w:t>
      </w:r>
      <w:r w:rsidR="00890947" w:rsidRPr="00CB7E90">
        <w:rPr>
          <w:rFonts w:ascii="仿宋" w:eastAsia="仿宋" w:hAnsi="仿宋" w:hint="eastAsia"/>
          <w:sz w:val="32"/>
          <w:szCs w:val="32"/>
        </w:rPr>
        <w:t>个百分点。</w:t>
      </w:r>
    </w:p>
    <w:p w:rsidR="00B52ADD" w:rsidRPr="000651B2" w:rsidRDefault="00045FB2" w:rsidP="000651B2">
      <w:pPr>
        <w:ind w:firstLineChars="200" w:firstLine="640"/>
        <w:rPr>
          <w:rFonts w:ascii="仿宋" w:eastAsia="仿宋" w:hAnsi="仿宋"/>
          <w:sz w:val="32"/>
          <w:szCs w:val="32"/>
        </w:rPr>
      </w:pPr>
      <w:r w:rsidRPr="00CB7E90">
        <w:rPr>
          <w:rFonts w:ascii="仿宋" w:eastAsia="仿宋" w:hAnsi="仿宋" w:hint="eastAsia"/>
          <w:sz w:val="32"/>
          <w:szCs w:val="32"/>
        </w:rPr>
        <w:t>1-9月</w:t>
      </w:r>
      <w:r w:rsidR="00890947" w:rsidRPr="00CB7E90">
        <w:rPr>
          <w:rFonts w:ascii="仿宋" w:eastAsia="仿宋" w:hAnsi="仿宋" w:hint="eastAsia"/>
          <w:sz w:val="32"/>
          <w:szCs w:val="32"/>
        </w:rPr>
        <w:t>，县域</w:t>
      </w:r>
      <w:r w:rsidR="00890947" w:rsidRPr="00CB7E90">
        <w:rPr>
          <w:rFonts w:ascii="仿宋" w:eastAsia="仿宋" w:hAnsi="仿宋" w:hint="eastAsia"/>
          <w:b/>
          <w:sz w:val="32"/>
          <w:szCs w:val="32"/>
        </w:rPr>
        <w:t>车险</w:t>
      </w:r>
      <w:r w:rsidR="00890947" w:rsidRPr="00CB7E90">
        <w:rPr>
          <w:rFonts w:ascii="仿宋" w:eastAsia="仿宋" w:hAnsi="仿宋" w:hint="eastAsia"/>
          <w:sz w:val="32"/>
          <w:szCs w:val="32"/>
        </w:rPr>
        <w:t>保费增速下滑份额同比下降，</w:t>
      </w:r>
      <w:r w:rsidR="00890947" w:rsidRPr="00CB7E90">
        <w:rPr>
          <w:rFonts w:ascii="仿宋" w:eastAsia="仿宋" w:hAnsi="仿宋" w:hint="eastAsia"/>
          <w:b/>
          <w:sz w:val="32"/>
          <w:szCs w:val="32"/>
        </w:rPr>
        <w:t>农险和商非</w:t>
      </w:r>
      <w:r w:rsidR="00890947" w:rsidRPr="00CB7E90">
        <w:rPr>
          <w:rFonts w:ascii="仿宋" w:eastAsia="仿宋" w:hAnsi="仿宋" w:hint="eastAsia"/>
          <w:sz w:val="32"/>
          <w:szCs w:val="32"/>
        </w:rPr>
        <w:t>业务增速、份额均实现同比提升。</w:t>
      </w:r>
    </w:p>
    <w:p w:rsidR="000651B2" w:rsidRPr="000651B2" w:rsidRDefault="007D7D5A" w:rsidP="000651B2">
      <w:pPr>
        <w:rPr>
          <w:rFonts w:ascii="仿宋" w:eastAsia="仿宋" w:hAnsi="仿宋"/>
          <w:sz w:val="32"/>
          <w:szCs w:val="32"/>
        </w:rPr>
      </w:pPr>
      <w:r>
        <w:rPr>
          <w:noProof/>
        </w:rPr>
        <w:drawing>
          <wp:inline distT="0" distB="0" distL="0" distR="0" wp14:anchorId="64375C17" wp14:editId="441D880E">
            <wp:extent cx="5274310" cy="2461345"/>
            <wp:effectExtent l="0" t="0" r="21590" b="15240"/>
            <wp:docPr id="32" name="图表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0207F5" w:rsidRPr="003E5F9B" w:rsidRDefault="000651B2" w:rsidP="000651B2">
      <w:pPr>
        <w:ind w:firstLineChars="100" w:firstLine="320"/>
        <w:rPr>
          <w:rFonts w:ascii="仿宋" w:eastAsia="仿宋" w:hAnsi="仿宋"/>
          <w:b/>
          <w:bCs/>
          <w:sz w:val="32"/>
          <w:szCs w:val="32"/>
        </w:rPr>
      </w:pPr>
      <w:r>
        <w:rPr>
          <w:rFonts w:ascii="仿宋" w:eastAsia="仿宋" w:hAnsi="仿宋" w:hint="eastAsia"/>
          <w:sz w:val="32"/>
          <w:szCs w:val="32"/>
        </w:rPr>
        <w:t xml:space="preserve">   </w:t>
      </w:r>
      <w:r w:rsidRPr="003E5F9B">
        <w:rPr>
          <w:rFonts w:ascii="仿宋" w:eastAsia="仿宋" w:hAnsi="仿宋" w:hint="eastAsia"/>
          <w:sz w:val="32"/>
          <w:szCs w:val="32"/>
        </w:rPr>
        <w:t>三、</w:t>
      </w:r>
      <w:r w:rsidRPr="003E5F9B">
        <w:rPr>
          <w:rFonts w:ascii="仿宋" w:eastAsia="仿宋" w:hAnsi="仿宋" w:hint="eastAsia"/>
          <w:b/>
          <w:bCs/>
          <w:sz w:val="32"/>
          <w:szCs w:val="32"/>
        </w:rPr>
        <w:t>赔付情况通报</w:t>
      </w:r>
    </w:p>
    <w:p w:rsidR="000651B2" w:rsidRPr="003E5F9B" w:rsidRDefault="000651B2" w:rsidP="000651B2">
      <w:pPr>
        <w:ind w:leftChars="153" w:left="321" w:firstLineChars="100" w:firstLine="321"/>
        <w:rPr>
          <w:rFonts w:ascii="仿宋" w:eastAsia="仿宋" w:hAnsi="仿宋"/>
          <w:b/>
          <w:bCs/>
          <w:sz w:val="32"/>
          <w:szCs w:val="32"/>
        </w:rPr>
      </w:pPr>
      <w:r w:rsidRPr="003E5F9B">
        <w:rPr>
          <w:rFonts w:ascii="仿宋" w:eastAsia="仿宋" w:hAnsi="仿宋" w:hint="eastAsia"/>
          <w:b/>
          <w:bCs/>
          <w:sz w:val="32"/>
          <w:szCs w:val="32"/>
        </w:rPr>
        <w:t>（一）赔付率情况</w:t>
      </w:r>
    </w:p>
    <w:p w:rsidR="00B52ADD" w:rsidRPr="003E5F9B" w:rsidRDefault="00045FB2" w:rsidP="00905CAC">
      <w:pPr>
        <w:ind w:firstLineChars="200" w:firstLine="640"/>
        <w:rPr>
          <w:rFonts w:ascii="仿宋" w:eastAsia="仿宋" w:hAnsi="仿宋"/>
          <w:sz w:val="32"/>
          <w:szCs w:val="32"/>
        </w:rPr>
      </w:pPr>
      <w:r w:rsidRPr="003E5F9B">
        <w:rPr>
          <w:rFonts w:ascii="仿宋" w:eastAsia="仿宋" w:hAnsi="仿宋" w:hint="eastAsia"/>
          <w:sz w:val="32"/>
          <w:szCs w:val="32"/>
        </w:rPr>
        <w:t>1-9月</w:t>
      </w:r>
      <w:r w:rsidR="00890947" w:rsidRPr="003E5F9B">
        <w:rPr>
          <w:rFonts w:ascii="仿宋" w:eastAsia="仿宋" w:hAnsi="仿宋" w:hint="eastAsia"/>
          <w:sz w:val="32"/>
          <w:szCs w:val="32"/>
        </w:rPr>
        <w:t>，丹东财险市场已决赔案</w:t>
      </w:r>
      <w:r w:rsidR="00E1497E" w:rsidRPr="003E5F9B">
        <w:rPr>
          <w:rFonts w:ascii="仿宋" w:eastAsia="仿宋" w:hAnsi="仿宋" w:hint="eastAsia"/>
          <w:sz w:val="32"/>
          <w:szCs w:val="32"/>
        </w:rPr>
        <w:t>88469</w:t>
      </w:r>
      <w:r w:rsidR="00890947" w:rsidRPr="003E5F9B">
        <w:rPr>
          <w:rFonts w:ascii="仿宋" w:eastAsia="仿宋" w:hAnsi="仿宋" w:hint="eastAsia"/>
          <w:sz w:val="32"/>
          <w:szCs w:val="32"/>
        </w:rPr>
        <w:t>件，累计支付赔款</w:t>
      </w:r>
      <w:r w:rsidR="00921BB2" w:rsidRPr="003E5F9B">
        <w:rPr>
          <w:rFonts w:ascii="仿宋" w:eastAsia="仿宋" w:hAnsi="仿宋" w:hint="eastAsia"/>
          <w:sz w:val="32"/>
          <w:szCs w:val="32"/>
        </w:rPr>
        <w:t>47667</w:t>
      </w:r>
      <w:r w:rsidR="00890947" w:rsidRPr="003E5F9B">
        <w:rPr>
          <w:rFonts w:ascii="仿宋" w:eastAsia="仿宋" w:hAnsi="仿宋" w:hint="eastAsia"/>
          <w:sz w:val="32"/>
          <w:szCs w:val="32"/>
        </w:rPr>
        <w:t>万元，同比减少</w:t>
      </w:r>
      <w:r w:rsidR="00921BB2" w:rsidRPr="003E5F9B">
        <w:rPr>
          <w:rFonts w:ascii="仿宋" w:eastAsia="仿宋" w:hAnsi="仿宋" w:hint="eastAsia"/>
          <w:sz w:val="32"/>
          <w:szCs w:val="32"/>
        </w:rPr>
        <w:t>491</w:t>
      </w:r>
      <w:r w:rsidR="00890947" w:rsidRPr="003E5F9B">
        <w:rPr>
          <w:rFonts w:ascii="仿宋" w:eastAsia="仿宋" w:hAnsi="仿宋" w:hint="eastAsia"/>
          <w:sz w:val="32"/>
          <w:szCs w:val="32"/>
        </w:rPr>
        <w:t xml:space="preserve">万元，降幅 </w:t>
      </w:r>
      <w:r w:rsidR="00921BB2" w:rsidRPr="003E5F9B">
        <w:rPr>
          <w:rFonts w:ascii="仿宋" w:eastAsia="仿宋" w:hAnsi="仿宋" w:hint="eastAsia"/>
          <w:sz w:val="32"/>
          <w:szCs w:val="32"/>
        </w:rPr>
        <w:t>1.04</w:t>
      </w:r>
      <w:r w:rsidR="00890947" w:rsidRPr="003E5F9B">
        <w:rPr>
          <w:rFonts w:ascii="仿宋" w:eastAsia="仿宋" w:hAnsi="仿宋" w:hint="eastAsia"/>
          <w:sz w:val="32"/>
          <w:szCs w:val="32"/>
        </w:rPr>
        <w:t xml:space="preserve"> %。</w:t>
      </w:r>
    </w:p>
    <w:p w:rsidR="00B52ADD" w:rsidRPr="003E5F9B" w:rsidRDefault="00890947" w:rsidP="000651B2">
      <w:pPr>
        <w:ind w:firstLineChars="300" w:firstLine="960"/>
        <w:rPr>
          <w:rFonts w:ascii="仿宋" w:eastAsia="仿宋" w:hAnsi="仿宋"/>
          <w:sz w:val="32"/>
          <w:szCs w:val="32"/>
        </w:rPr>
      </w:pPr>
      <w:r w:rsidRPr="003E5F9B">
        <w:rPr>
          <w:rFonts w:ascii="仿宋" w:eastAsia="仿宋" w:hAnsi="仿宋" w:hint="eastAsia"/>
          <w:sz w:val="32"/>
          <w:szCs w:val="32"/>
        </w:rPr>
        <w:t>财险市场整体赔付率</w:t>
      </w:r>
      <w:r w:rsidR="003E5F9B" w:rsidRPr="003E5F9B">
        <w:rPr>
          <w:rFonts w:ascii="仿宋" w:eastAsia="仿宋" w:hAnsi="仿宋" w:hint="eastAsia"/>
          <w:sz w:val="32"/>
          <w:szCs w:val="32"/>
        </w:rPr>
        <w:t>56.94</w:t>
      </w:r>
      <w:r w:rsidRPr="003E5F9B">
        <w:rPr>
          <w:rFonts w:ascii="仿宋" w:eastAsia="仿宋" w:hAnsi="仿宋" w:hint="eastAsia"/>
          <w:sz w:val="32"/>
          <w:szCs w:val="32"/>
        </w:rPr>
        <w:t xml:space="preserve"> %，同比</w:t>
      </w:r>
      <w:r w:rsidR="003E5F9B" w:rsidRPr="003E5F9B">
        <w:rPr>
          <w:rFonts w:ascii="仿宋" w:eastAsia="仿宋" w:hAnsi="仿宋" w:hint="eastAsia"/>
          <w:sz w:val="32"/>
          <w:szCs w:val="32"/>
        </w:rPr>
        <w:t>上升1.02</w:t>
      </w:r>
      <w:r w:rsidRPr="003E5F9B">
        <w:rPr>
          <w:rFonts w:ascii="仿宋" w:eastAsia="仿宋" w:hAnsi="仿宋" w:hint="eastAsia"/>
          <w:sz w:val="32"/>
          <w:szCs w:val="32"/>
        </w:rPr>
        <w:t xml:space="preserve"> </w:t>
      </w:r>
      <w:proofErr w:type="gramStart"/>
      <w:r w:rsidRPr="003E5F9B">
        <w:rPr>
          <w:rFonts w:ascii="仿宋" w:eastAsia="仿宋" w:hAnsi="仿宋" w:hint="eastAsia"/>
          <w:sz w:val="32"/>
          <w:szCs w:val="32"/>
        </w:rPr>
        <w:t>个</w:t>
      </w:r>
      <w:proofErr w:type="gramEnd"/>
      <w:r w:rsidRPr="003E5F9B">
        <w:rPr>
          <w:rFonts w:ascii="仿宋" w:eastAsia="仿宋" w:hAnsi="仿宋" w:hint="eastAsia"/>
          <w:sz w:val="32"/>
          <w:szCs w:val="32"/>
        </w:rPr>
        <w:t>百分点，赔付率</w:t>
      </w:r>
      <w:proofErr w:type="gramStart"/>
      <w:r w:rsidRPr="003E5F9B">
        <w:rPr>
          <w:rFonts w:ascii="仿宋" w:eastAsia="仿宋" w:hAnsi="仿宋" w:hint="eastAsia"/>
          <w:sz w:val="32"/>
          <w:szCs w:val="32"/>
        </w:rPr>
        <w:t>优于省</w:t>
      </w:r>
      <w:proofErr w:type="gramEnd"/>
      <w:r w:rsidRPr="003E5F9B">
        <w:rPr>
          <w:rFonts w:ascii="仿宋" w:eastAsia="仿宋" w:hAnsi="仿宋" w:hint="eastAsia"/>
          <w:sz w:val="32"/>
          <w:szCs w:val="32"/>
        </w:rPr>
        <w:t>均(</w:t>
      </w:r>
      <w:r w:rsidR="003E5F9B" w:rsidRPr="003E5F9B">
        <w:rPr>
          <w:rFonts w:ascii="仿宋" w:eastAsia="仿宋" w:hAnsi="仿宋" w:hint="eastAsia"/>
          <w:sz w:val="32"/>
          <w:szCs w:val="32"/>
        </w:rPr>
        <w:t>62.23</w:t>
      </w:r>
      <w:r w:rsidRPr="003E5F9B">
        <w:rPr>
          <w:rFonts w:ascii="仿宋" w:eastAsia="仿宋" w:hAnsi="仿宋" w:hint="eastAsia"/>
          <w:sz w:val="32"/>
          <w:szCs w:val="32"/>
        </w:rPr>
        <w:t xml:space="preserve">%) </w:t>
      </w:r>
      <w:r w:rsidR="003E5F9B" w:rsidRPr="003E5F9B">
        <w:rPr>
          <w:rFonts w:ascii="仿宋" w:eastAsia="仿宋" w:hAnsi="仿宋" w:hint="eastAsia"/>
          <w:sz w:val="32"/>
          <w:szCs w:val="32"/>
        </w:rPr>
        <w:t>5.29</w:t>
      </w:r>
      <w:r w:rsidRPr="003E5F9B">
        <w:rPr>
          <w:rFonts w:ascii="仿宋" w:eastAsia="仿宋" w:hAnsi="仿宋" w:hint="eastAsia"/>
          <w:sz w:val="32"/>
          <w:szCs w:val="32"/>
        </w:rPr>
        <w:t>个百分点。</w:t>
      </w:r>
    </w:p>
    <w:p w:rsidR="00B52ADD" w:rsidRPr="003E5F9B" w:rsidRDefault="00890947" w:rsidP="000651B2">
      <w:pPr>
        <w:ind w:firstLineChars="200" w:firstLine="640"/>
        <w:rPr>
          <w:rFonts w:ascii="仿宋" w:eastAsia="仿宋" w:hAnsi="仿宋"/>
          <w:sz w:val="32"/>
          <w:szCs w:val="32"/>
        </w:rPr>
      </w:pPr>
      <w:r w:rsidRPr="003E5F9B">
        <w:rPr>
          <w:rFonts w:ascii="仿宋" w:eastAsia="仿宋" w:hAnsi="仿宋" w:hint="eastAsia"/>
          <w:sz w:val="32"/>
          <w:szCs w:val="32"/>
        </w:rPr>
        <w:lastRenderedPageBreak/>
        <w:t>车险已决赔案</w:t>
      </w:r>
      <w:r w:rsidR="003E5F9B" w:rsidRPr="003E5F9B">
        <w:rPr>
          <w:rFonts w:ascii="仿宋" w:eastAsia="仿宋" w:hAnsi="仿宋" w:hint="eastAsia"/>
          <w:sz w:val="32"/>
          <w:szCs w:val="32"/>
        </w:rPr>
        <w:t>53177</w:t>
      </w:r>
      <w:r w:rsidRPr="003E5F9B">
        <w:rPr>
          <w:rFonts w:ascii="仿宋" w:eastAsia="仿宋" w:hAnsi="仿宋" w:hint="eastAsia"/>
          <w:sz w:val="32"/>
          <w:szCs w:val="32"/>
        </w:rPr>
        <w:t>件，累计支付赔款</w:t>
      </w:r>
      <w:r w:rsidR="003E5F9B" w:rsidRPr="003E5F9B">
        <w:rPr>
          <w:rFonts w:ascii="仿宋" w:eastAsia="仿宋" w:hAnsi="仿宋" w:hint="eastAsia"/>
          <w:sz w:val="32"/>
          <w:szCs w:val="32"/>
        </w:rPr>
        <w:t>36310</w:t>
      </w:r>
      <w:r w:rsidRPr="003E5F9B">
        <w:rPr>
          <w:rFonts w:ascii="仿宋" w:eastAsia="仿宋" w:hAnsi="仿宋" w:hint="eastAsia"/>
          <w:sz w:val="32"/>
          <w:szCs w:val="32"/>
        </w:rPr>
        <w:t>万元，同比减少</w:t>
      </w:r>
      <w:r w:rsidR="003E5F9B" w:rsidRPr="003E5F9B">
        <w:rPr>
          <w:rFonts w:ascii="仿宋" w:eastAsia="仿宋" w:hAnsi="仿宋" w:hint="eastAsia"/>
          <w:sz w:val="32"/>
          <w:szCs w:val="32"/>
        </w:rPr>
        <w:t>2270</w:t>
      </w:r>
      <w:r w:rsidRPr="003E5F9B">
        <w:rPr>
          <w:rFonts w:ascii="仿宋" w:eastAsia="仿宋" w:hAnsi="仿宋" w:hint="eastAsia"/>
          <w:sz w:val="32"/>
          <w:szCs w:val="32"/>
        </w:rPr>
        <w:t>万元。</w:t>
      </w:r>
    </w:p>
    <w:p w:rsidR="000651B2" w:rsidRPr="000651B2" w:rsidRDefault="00045FB2" w:rsidP="000651B2">
      <w:pPr>
        <w:ind w:firstLineChars="100" w:firstLine="320"/>
        <w:rPr>
          <w:rFonts w:ascii="仿宋" w:eastAsia="仿宋" w:hAnsi="仿宋"/>
          <w:sz w:val="32"/>
          <w:szCs w:val="32"/>
        </w:rPr>
      </w:pPr>
      <w:r w:rsidRPr="003E5F9B">
        <w:rPr>
          <w:rFonts w:ascii="仿宋" w:eastAsia="仿宋" w:hAnsi="仿宋" w:hint="eastAsia"/>
          <w:sz w:val="32"/>
          <w:szCs w:val="32"/>
        </w:rPr>
        <w:t>9</w:t>
      </w:r>
      <w:r w:rsidR="000651B2" w:rsidRPr="003E5F9B">
        <w:rPr>
          <w:rFonts w:ascii="仿宋" w:eastAsia="仿宋" w:hAnsi="仿宋" w:hint="eastAsia"/>
          <w:sz w:val="32"/>
          <w:szCs w:val="32"/>
        </w:rPr>
        <w:t>月末，车</w:t>
      </w:r>
      <w:proofErr w:type="gramStart"/>
      <w:r w:rsidR="000651B2" w:rsidRPr="003E5F9B">
        <w:rPr>
          <w:rFonts w:ascii="仿宋" w:eastAsia="仿宋" w:hAnsi="仿宋" w:hint="eastAsia"/>
          <w:sz w:val="32"/>
          <w:szCs w:val="32"/>
        </w:rPr>
        <w:t>险综合</w:t>
      </w:r>
      <w:proofErr w:type="gramEnd"/>
      <w:r w:rsidR="000651B2" w:rsidRPr="003E5F9B">
        <w:rPr>
          <w:rFonts w:ascii="仿宋" w:eastAsia="仿宋" w:hAnsi="仿宋" w:hint="eastAsia"/>
          <w:sz w:val="32"/>
          <w:szCs w:val="32"/>
        </w:rPr>
        <w:t>赔付率</w:t>
      </w:r>
      <w:r w:rsidR="003E5F9B" w:rsidRPr="003E5F9B">
        <w:rPr>
          <w:rFonts w:ascii="仿宋" w:eastAsia="仿宋" w:hAnsi="仿宋" w:hint="eastAsia"/>
          <w:sz w:val="32"/>
          <w:szCs w:val="32"/>
        </w:rPr>
        <w:t>51.81</w:t>
      </w:r>
      <w:r w:rsidR="000651B2" w:rsidRPr="003E5F9B">
        <w:rPr>
          <w:rFonts w:ascii="仿宋" w:eastAsia="仿宋" w:hAnsi="仿宋" w:hint="eastAsia"/>
          <w:sz w:val="32"/>
          <w:szCs w:val="32"/>
        </w:rPr>
        <w:t>%，同比下降</w:t>
      </w:r>
      <w:r w:rsidR="003E5F9B" w:rsidRPr="003E5F9B">
        <w:rPr>
          <w:rFonts w:ascii="仿宋" w:eastAsia="仿宋" w:hAnsi="仿宋" w:hint="eastAsia"/>
          <w:sz w:val="32"/>
          <w:szCs w:val="32"/>
        </w:rPr>
        <w:t>5.71</w:t>
      </w:r>
      <w:r w:rsidR="000651B2" w:rsidRPr="003E5F9B">
        <w:rPr>
          <w:rFonts w:ascii="仿宋" w:eastAsia="仿宋" w:hAnsi="仿宋" w:hint="eastAsia"/>
          <w:sz w:val="32"/>
          <w:szCs w:val="32"/>
        </w:rPr>
        <w:t>个百分点，丹东车险赔付率</w:t>
      </w:r>
      <w:proofErr w:type="gramStart"/>
      <w:r w:rsidR="000651B2" w:rsidRPr="003E5F9B">
        <w:rPr>
          <w:rFonts w:ascii="仿宋" w:eastAsia="仿宋" w:hAnsi="仿宋" w:hint="eastAsia"/>
          <w:sz w:val="32"/>
          <w:szCs w:val="32"/>
        </w:rPr>
        <w:t>优于省</w:t>
      </w:r>
      <w:proofErr w:type="gramEnd"/>
      <w:r w:rsidR="000651B2" w:rsidRPr="003E5F9B">
        <w:rPr>
          <w:rFonts w:ascii="仿宋" w:eastAsia="仿宋" w:hAnsi="仿宋" w:hint="eastAsia"/>
          <w:sz w:val="32"/>
          <w:szCs w:val="32"/>
        </w:rPr>
        <w:t>均(</w:t>
      </w:r>
      <w:r w:rsidR="003E5F9B" w:rsidRPr="003E5F9B">
        <w:rPr>
          <w:rFonts w:ascii="仿宋" w:eastAsia="仿宋" w:hAnsi="仿宋" w:hint="eastAsia"/>
          <w:sz w:val="32"/>
          <w:szCs w:val="32"/>
        </w:rPr>
        <w:t>53.9</w:t>
      </w:r>
      <w:r w:rsidR="000651B2" w:rsidRPr="003E5F9B">
        <w:rPr>
          <w:rFonts w:ascii="仿宋" w:eastAsia="仿宋" w:hAnsi="仿宋" w:hint="eastAsia"/>
          <w:sz w:val="32"/>
          <w:szCs w:val="32"/>
        </w:rPr>
        <w:t xml:space="preserve">%) </w:t>
      </w:r>
      <w:r w:rsidR="003E5F9B" w:rsidRPr="003E5F9B">
        <w:rPr>
          <w:rFonts w:ascii="仿宋" w:eastAsia="仿宋" w:hAnsi="仿宋" w:hint="eastAsia"/>
          <w:sz w:val="32"/>
          <w:szCs w:val="32"/>
        </w:rPr>
        <w:t>2.09</w:t>
      </w:r>
      <w:r w:rsidR="000651B2" w:rsidRPr="003E5F9B">
        <w:rPr>
          <w:rFonts w:ascii="仿宋" w:eastAsia="仿宋" w:hAnsi="仿宋" w:hint="eastAsia"/>
          <w:sz w:val="32"/>
          <w:szCs w:val="32"/>
        </w:rPr>
        <w:t>个百分点。</w:t>
      </w:r>
    </w:p>
    <w:p w:rsidR="000651B2" w:rsidRPr="006859F8" w:rsidRDefault="000651B2" w:rsidP="000651B2">
      <w:pPr>
        <w:rPr>
          <w:rFonts w:ascii="仿宋" w:eastAsia="仿宋" w:hAnsi="仿宋"/>
          <w:b/>
          <w:sz w:val="32"/>
          <w:szCs w:val="32"/>
        </w:rPr>
      </w:pPr>
      <w:r>
        <w:rPr>
          <w:rFonts w:ascii="仿宋" w:eastAsia="仿宋" w:hAnsi="仿宋" w:hint="eastAsia"/>
          <w:sz w:val="32"/>
          <w:szCs w:val="32"/>
        </w:rPr>
        <w:t xml:space="preserve">    </w:t>
      </w:r>
      <w:r w:rsidRPr="006859F8">
        <w:rPr>
          <w:rFonts w:ascii="仿宋" w:eastAsia="仿宋" w:hAnsi="仿宋" w:hint="eastAsia"/>
          <w:b/>
          <w:sz w:val="32"/>
          <w:szCs w:val="32"/>
        </w:rPr>
        <w:t>（二）结案率情况</w:t>
      </w:r>
    </w:p>
    <w:p w:rsidR="00B52ADD" w:rsidRDefault="00890947" w:rsidP="000651B2">
      <w:pPr>
        <w:ind w:firstLineChars="200" w:firstLine="643"/>
        <w:rPr>
          <w:rFonts w:ascii="仿宋" w:eastAsia="仿宋" w:hAnsi="仿宋"/>
          <w:sz w:val="32"/>
          <w:szCs w:val="32"/>
        </w:rPr>
      </w:pPr>
      <w:r w:rsidRPr="006859F8">
        <w:rPr>
          <w:rFonts w:ascii="仿宋" w:eastAsia="仿宋" w:hAnsi="仿宋" w:hint="eastAsia"/>
          <w:b/>
          <w:bCs/>
          <w:sz w:val="32"/>
          <w:szCs w:val="32"/>
        </w:rPr>
        <w:t>商业车险</w:t>
      </w:r>
      <w:r w:rsidRPr="006859F8">
        <w:rPr>
          <w:rFonts w:ascii="仿宋" w:eastAsia="仿宋" w:hAnsi="仿宋" w:hint="eastAsia"/>
          <w:sz w:val="32"/>
          <w:szCs w:val="32"/>
        </w:rPr>
        <w:t>：</w:t>
      </w:r>
      <w:r w:rsidR="00045FB2" w:rsidRPr="006859F8">
        <w:rPr>
          <w:rFonts w:ascii="仿宋" w:eastAsia="仿宋" w:hAnsi="仿宋" w:hint="eastAsia"/>
          <w:sz w:val="32"/>
          <w:szCs w:val="32"/>
        </w:rPr>
        <w:t>9月末</w:t>
      </w:r>
      <w:r w:rsidRPr="006859F8">
        <w:rPr>
          <w:rFonts w:ascii="仿宋" w:eastAsia="仿宋" w:hAnsi="仿宋" w:hint="eastAsia"/>
          <w:sz w:val="32"/>
          <w:szCs w:val="32"/>
        </w:rPr>
        <w:t>，丹东地区商业车险平均结案率为</w:t>
      </w:r>
      <w:r w:rsidR="00A62626" w:rsidRPr="006859F8">
        <w:rPr>
          <w:rFonts w:ascii="仿宋" w:eastAsia="仿宋" w:hAnsi="仿宋" w:hint="eastAsia"/>
          <w:sz w:val="32"/>
          <w:szCs w:val="32"/>
        </w:rPr>
        <w:t>88.84</w:t>
      </w:r>
      <w:r w:rsidRPr="006859F8">
        <w:rPr>
          <w:rFonts w:ascii="仿宋" w:eastAsia="仿宋" w:hAnsi="仿宋" w:hint="eastAsia"/>
          <w:sz w:val="32"/>
          <w:szCs w:val="32"/>
        </w:rPr>
        <w:t>%，低于省均（</w:t>
      </w:r>
      <w:r w:rsidR="00A62626" w:rsidRPr="006859F8">
        <w:rPr>
          <w:rFonts w:ascii="仿宋" w:eastAsia="仿宋" w:hAnsi="仿宋" w:hint="eastAsia"/>
          <w:sz w:val="32"/>
          <w:szCs w:val="32"/>
        </w:rPr>
        <w:t>89.75</w:t>
      </w:r>
      <w:r w:rsidRPr="006859F8">
        <w:rPr>
          <w:rFonts w:ascii="仿宋" w:eastAsia="仿宋" w:hAnsi="仿宋" w:hint="eastAsia"/>
          <w:sz w:val="32"/>
          <w:szCs w:val="32"/>
        </w:rPr>
        <w:t>%）0.</w:t>
      </w:r>
      <w:r w:rsidR="00A62626" w:rsidRPr="006859F8">
        <w:rPr>
          <w:rFonts w:ascii="仿宋" w:eastAsia="仿宋" w:hAnsi="仿宋" w:hint="eastAsia"/>
          <w:sz w:val="32"/>
          <w:szCs w:val="32"/>
        </w:rPr>
        <w:t>91</w:t>
      </w:r>
      <w:r w:rsidRPr="006859F8">
        <w:rPr>
          <w:rFonts w:ascii="仿宋" w:eastAsia="仿宋" w:hAnsi="仿宋" w:hint="eastAsia"/>
          <w:sz w:val="32"/>
          <w:szCs w:val="32"/>
        </w:rPr>
        <w:t>个百分点，平安、太平洋、中华联合、阳光、太平、</w:t>
      </w:r>
      <w:r w:rsidR="006859F8" w:rsidRPr="006859F8">
        <w:rPr>
          <w:rFonts w:ascii="仿宋" w:eastAsia="仿宋" w:hAnsi="仿宋" w:hint="eastAsia"/>
          <w:sz w:val="32"/>
          <w:szCs w:val="32"/>
        </w:rPr>
        <w:t>富邦、华安、亚太、浙商、大地、永安、中航安盟</w:t>
      </w:r>
      <w:r w:rsidRPr="006859F8">
        <w:rPr>
          <w:rFonts w:ascii="仿宋" w:eastAsia="仿宋" w:hAnsi="仿宋" w:hint="eastAsia"/>
          <w:sz w:val="32"/>
          <w:szCs w:val="32"/>
        </w:rPr>
        <w:t>等</w:t>
      </w:r>
      <w:r w:rsidR="006859F8" w:rsidRPr="006859F8">
        <w:rPr>
          <w:rFonts w:ascii="仿宋" w:eastAsia="仿宋" w:hAnsi="仿宋" w:hint="eastAsia"/>
          <w:sz w:val="32"/>
          <w:szCs w:val="32"/>
        </w:rPr>
        <w:t>12</w:t>
      </w:r>
      <w:r w:rsidRPr="006859F8">
        <w:rPr>
          <w:rFonts w:ascii="仿宋" w:eastAsia="仿宋" w:hAnsi="仿宋" w:hint="eastAsia"/>
          <w:sz w:val="32"/>
          <w:szCs w:val="32"/>
        </w:rPr>
        <w:t>家公司商业车险结案率高于地区平均水平，其中：</w:t>
      </w:r>
      <w:r w:rsidR="006859F8" w:rsidRPr="006859F8">
        <w:rPr>
          <w:rFonts w:ascii="仿宋" w:eastAsia="仿宋" w:hAnsi="仿宋" w:hint="eastAsia"/>
          <w:sz w:val="32"/>
          <w:szCs w:val="32"/>
        </w:rPr>
        <w:t>富邦</w:t>
      </w:r>
      <w:r w:rsidRPr="006859F8">
        <w:rPr>
          <w:rFonts w:ascii="仿宋" w:eastAsia="仿宋" w:hAnsi="仿宋" w:hint="eastAsia"/>
          <w:sz w:val="32"/>
          <w:szCs w:val="32"/>
        </w:rPr>
        <w:t>商业车险结案率最高，达到</w:t>
      </w:r>
      <w:r w:rsidR="006859F8" w:rsidRPr="006859F8">
        <w:rPr>
          <w:rFonts w:ascii="仿宋" w:eastAsia="仿宋" w:hAnsi="仿宋" w:hint="eastAsia"/>
          <w:sz w:val="32"/>
          <w:szCs w:val="32"/>
        </w:rPr>
        <w:t>94.6</w:t>
      </w:r>
      <w:r w:rsidRPr="006859F8">
        <w:rPr>
          <w:rFonts w:ascii="仿宋" w:eastAsia="仿宋" w:hAnsi="仿宋" w:hint="eastAsia"/>
          <w:sz w:val="32"/>
          <w:szCs w:val="32"/>
        </w:rPr>
        <w:t>% 。人保、</w:t>
      </w:r>
      <w:r w:rsidR="006859F8" w:rsidRPr="006859F8">
        <w:rPr>
          <w:rFonts w:ascii="仿宋" w:eastAsia="仿宋" w:hAnsi="仿宋" w:hint="eastAsia"/>
          <w:sz w:val="32"/>
          <w:szCs w:val="32"/>
        </w:rPr>
        <w:t>国寿财、</w:t>
      </w:r>
      <w:r w:rsidRPr="006859F8">
        <w:rPr>
          <w:rFonts w:ascii="仿宋" w:eastAsia="仿宋" w:hAnsi="仿宋" w:hint="eastAsia"/>
          <w:sz w:val="32"/>
          <w:szCs w:val="32"/>
        </w:rPr>
        <w:t>天安、</w:t>
      </w:r>
      <w:r w:rsidR="006859F8" w:rsidRPr="006859F8">
        <w:rPr>
          <w:rFonts w:ascii="仿宋" w:eastAsia="仿宋" w:hAnsi="仿宋" w:hint="eastAsia"/>
          <w:sz w:val="32"/>
          <w:szCs w:val="32"/>
        </w:rPr>
        <w:t>大家、永城、安华、渤海、英大</w:t>
      </w:r>
      <w:r w:rsidRPr="006859F8">
        <w:rPr>
          <w:rFonts w:ascii="仿宋" w:eastAsia="仿宋" w:hAnsi="仿宋" w:hint="eastAsia"/>
          <w:sz w:val="32"/>
          <w:szCs w:val="32"/>
        </w:rPr>
        <w:t>等</w:t>
      </w:r>
      <w:r w:rsidR="006859F8" w:rsidRPr="006859F8">
        <w:rPr>
          <w:rFonts w:ascii="仿宋" w:eastAsia="仿宋" w:hAnsi="仿宋" w:hint="eastAsia"/>
          <w:sz w:val="32"/>
          <w:szCs w:val="32"/>
        </w:rPr>
        <w:t>8</w:t>
      </w:r>
      <w:r w:rsidRPr="006859F8">
        <w:rPr>
          <w:rFonts w:ascii="仿宋" w:eastAsia="仿宋" w:hAnsi="仿宋" w:hint="eastAsia"/>
          <w:sz w:val="32"/>
          <w:szCs w:val="32"/>
        </w:rPr>
        <w:t>家公司商业车险结案率低于市均。</w:t>
      </w:r>
    </w:p>
    <w:p w:rsidR="009F0155" w:rsidRPr="000651B2" w:rsidRDefault="006859F8" w:rsidP="00A62626">
      <w:pPr>
        <w:rPr>
          <w:rFonts w:ascii="仿宋" w:eastAsia="仿宋" w:hAnsi="仿宋"/>
          <w:sz w:val="32"/>
          <w:szCs w:val="32"/>
        </w:rPr>
      </w:pPr>
      <w:r>
        <w:rPr>
          <w:noProof/>
        </w:rPr>
        <w:drawing>
          <wp:inline distT="0" distB="0" distL="0" distR="0" wp14:anchorId="6637210B" wp14:editId="6DAB79EE">
            <wp:extent cx="5274310" cy="1750167"/>
            <wp:effectExtent l="0" t="0" r="21590" b="21590"/>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0651B2" w:rsidRDefault="000651B2" w:rsidP="000651B2">
      <w:pPr>
        <w:rPr>
          <w:rFonts w:ascii="仿宋" w:eastAsia="仿宋" w:hAnsi="仿宋"/>
          <w:sz w:val="32"/>
          <w:szCs w:val="32"/>
        </w:rPr>
      </w:pPr>
    </w:p>
    <w:p w:rsidR="00B52ADD" w:rsidRPr="000651B2" w:rsidRDefault="00890947" w:rsidP="000651B2">
      <w:pPr>
        <w:ind w:firstLineChars="200" w:firstLine="643"/>
        <w:rPr>
          <w:rFonts w:ascii="仿宋" w:eastAsia="仿宋" w:hAnsi="仿宋"/>
          <w:sz w:val="32"/>
          <w:szCs w:val="32"/>
        </w:rPr>
      </w:pPr>
      <w:proofErr w:type="gramStart"/>
      <w:r w:rsidRPr="0011664A">
        <w:rPr>
          <w:rFonts w:ascii="仿宋" w:eastAsia="仿宋" w:hAnsi="仿宋" w:hint="eastAsia"/>
          <w:b/>
          <w:bCs/>
          <w:sz w:val="32"/>
          <w:szCs w:val="32"/>
        </w:rPr>
        <w:t>交强险</w:t>
      </w:r>
      <w:proofErr w:type="gramEnd"/>
      <w:r w:rsidRPr="0011664A">
        <w:rPr>
          <w:rFonts w:ascii="仿宋" w:eastAsia="仿宋" w:hAnsi="仿宋" w:hint="eastAsia"/>
          <w:sz w:val="32"/>
          <w:szCs w:val="32"/>
        </w:rPr>
        <w:t>：</w:t>
      </w:r>
      <w:r w:rsidR="00045FB2" w:rsidRPr="0011664A">
        <w:rPr>
          <w:rFonts w:ascii="仿宋" w:eastAsia="仿宋" w:hAnsi="仿宋" w:hint="eastAsia"/>
          <w:sz w:val="32"/>
          <w:szCs w:val="32"/>
        </w:rPr>
        <w:t>9月末</w:t>
      </w:r>
      <w:r w:rsidRPr="0011664A">
        <w:rPr>
          <w:rFonts w:ascii="仿宋" w:eastAsia="仿宋" w:hAnsi="仿宋" w:hint="eastAsia"/>
          <w:sz w:val="32"/>
          <w:szCs w:val="32"/>
        </w:rPr>
        <w:t>，丹东地区</w:t>
      </w:r>
      <w:proofErr w:type="gramStart"/>
      <w:r w:rsidRPr="0011664A">
        <w:rPr>
          <w:rFonts w:ascii="仿宋" w:eastAsia="仿宋" w:hAnsi="仿宋" w:hint="eastAsia"/>
          <w:sz w:val="32"/>
          <w:szCs w:val="32"/>
        </w:rPr>
        <w:t>交强险</w:t>
      </w:r>
      <w:proofErr w:type="gramEnd"/>
      <w:r w:rsidRPr="0011664A">
        <w:rPr>
          <w:rFonts w:ascii="仿宋" w:eastAsia="仿宋" w:hAnsi="仿宋" w:hint="eastAsia"/>
          <w:sz w:val="32"/>
          <w:szCs w:val="32"/>
        </w:rPr>
        <w:t>平均结案率为</w:t>
      </w:r>
      <w:r w:rsidR="006859F8" w:rsidRPr="0011664A">
        <w:rPr>
          <w:rFonts w:ascii="仿宋" w:eastAsia="仿宋" w:hAnsi="仿宋" w:hint="eastAsia"/>
          <w:sz w:val="32"/>
          <w:szCs w:val="32"/>
        </w:rPr>
        <w:t>89.95</w:t>
      </w:r>
      <w:r w:rsidRPr="0011664A">
        <w:rPr>
          <w:rFonts w:ascii="仿宋" w:eastAsia="仿宋" w:hAnsi="仿宋" w:hint="eastAsia"/>
          <w:sz w:val="32"/>
          <w:szCs w:val="32"/>
        </w:rPr>
        <w:t>%，</w:t>
      </w:r>
      <w:r w:rsidR="006859F8" w:rsidRPr="0011664A">
        <w:rPr>
          <w:rFonts w:ascii="仿宋" w:eastAsia="仿宋" w:hAnsi="仿宋" w:hint="eastAsia"/>
          <w:sz w:val="32"/>
          <w:szCs w:val="32"/>
        </w:rPr>
        <w:t>低</w:t>
      </w:r>
      <w:r w:rsidRPr="0011664A">
        <w:rPr>
          <w:rFonts w:ascii="仿宋" w:eastAsia="仿宋" w:hAnsi="仿宋" w:hint="eastAsia"/>
          <w:sz w:val="32"/>
          <w:szCs w:val="32"/>
        </w:rPr>
        <w:t>于省均（</w:t>
      </w:r>
      <w:r w:rsidR="006859F8" w:rsidRPr="0011664A">
        <w:rPr>
          <w:rFonts w:ascii="仿宋" w:eastAsia="仿宋" w:hAnsi="仿宋" w:hint="eastAsia"/>
          <w:sz w:val="32"/>
          <w:szCs w:val="32"/>
        </w:rPr>
        <w:t>89.96</w:t>
      </w:r>
      <w:r w:rsidRPr="0011664A">
        <w:rPr>
          <w:rFonts w:ascii="仿宋" w:eastAsia="仿宋" w:hAnsi="仿宋" w:hint="eastAsia"/>
          <w:sz w:val="32"/>
          <w:szCs w:val="32"/>
        </w:rPr>
        <w:t>%）</w:t>
      </w:r>
      <w:r w:rsidR="006859F8" w:rsidRPr="0011664A">
        <w:rPr>
          <w:rFonts w:ascii="仿宋" w:eastAsia="仿宋" w:hAnsi="仿宋" w:hint="eastAsia"/>
          <w:sz w:val="32"/>
          <w:szCs w:val="32"/>
        </w:rPr>
        <w:t>0.01</w:t>
      </w:r>
      <w:r w:rsidRPr="0011664A">
        <w:rPr>
          <w:rFonts w:ascii="仿宋" w:eastAsia="仿宋" w:hAnsi="仿宋" w:hint="eastAsia"/>
          <w:sz w:val="32"/>
          <w:szCs w:val="32"/>
        </w:rPr>
        <w:t>个百分点，</w:t>
      </w:r>
      <w:r w:rsidR="0011664A" w:rsidRPr="0011664A">
        <w:rPr>
          <w:rFonts w:ascii="仿宋" w:eastAsia="仿宋" w:hAnsi="仿宋" w:hint="eastAsia"/>
          <w:sz w:val="32"/>
          <w:szCs w:val="32"/>
        </w:rPr>
        <w:t>太平洋、中华联合、阳光、太平、中航安盟、华安、大地、永城、富邦、天安、浙商、永安、英大等</w:t>
      </w:r>
      <w:r w:rsidR="006859F8" w:rsidRPr="0011664A">
        <w:rPr>
          <w:rFonts w:ascii="仿宋" w:eastAsia="仿宋" w:hAnsi="仿宋" w:hint="eastAsia"/>
          <w:sz w:val="32"/>
          <w:szCs w:val="32"/>
        </w:rPr>
        <w:t>1</w:t>
      </w:r>
      <w:r w:rsidR="0011664A" w:rsidRPr="0011664A">
        <w:rPr>
          <w:rFonts w:ascii="仿宋" w:eastAsia="仿宋" w:hAnsi="仿宋" w:hint="eastAsia"/>
          <w:sz w:val="32"/>
          <w:szCs w:val="32"/>
        </w:rPr>
        <w:t>3</w:t>
      </w:r>
      <w:r w:rsidRPr="0011664A">
        <w:rPr>
          <w:rFonts w:ascii="仿宋" w:eastAsia="仿宋" w:hAnsi="仿宋" w:hint="eastAsia"/>
          <w:sz w:val="32"/>
          <w:szCs w:val="32"/>
        </w:rPr>
        <w:t>家机构</w:t>
      </w:r>
      <w:proofErr w:type="gramStart"/>
      <w:r w:rsidRPr="0011664A">
        <w:rPr>
          <w:rFonts w:ascii="仿宋" w:eastAsia="仿宋" w:hAnsi="仿宋" w:hint="eastAsia"/>
          <w:sz w:val="32"/>
          <w:szCs w:val="32"/>
        </w:rPr>
        <w:t>交强险</w:t>
      </w:r>
      <w:proofErr w:type="gramEnd"/>
      <w:r w:rsidRPr="0011664A">
        <w:rPr>
          <w:rFonts w:ascii="仿宋" w:eastAsia="仿宋" w:hAnsi="仿宋" w:hint="eastAsia"/>
          <w:sz w:val="32"/>
          <w:szCs w:val="32"/>
        </w:rPr>
        <w:t>结案率高于全市平均水平，其中：</w:t>
      </w:r>
      <w:r w:rsidR="006859F8" w:rsidRPr="0011664A">
        <w:rPr>
          <w:rFonts w:ascii="仿宋" w:eastAsia="仿宋" w:hAnsi="仿宋" w:hint="eastAsia"/>
          <w:sz w:val="32"/>
          <w:szCs w:val="32"/>
        </w:rPr>
        <w:t>中航安盟</w:t>
      </w:r>
      <w:proofErr w:type="gramStart"/>
      <w:r w:rsidRPr="0011664A">
        <w:rPr>
          <w:rFonts w:ascii="仿宋" w:eastAsia="仿宋" w:hAnsi="仿宋" w:hint="eastAsia"/>
          <w:sz w:val="32"/>
          <w:szCs w:val="32"/>
        </w:rPr>
        <w:t>交强险</w:t>
      </w:r>
      <w:proofErr w:type="gramEnd"/>
      <w:r w:rsidRPr="0011664A">
        <w:rPr>
          <w:rFonts w:ascii="仿宋" w:eastAsia="仿宋" w:hAnsi="仿宋" w:hint="eastAsia"/>
          <w:sz w:val="32"/>
          <w:szCs w:val="32"/>
        </w:rPr>
        <w:t>结案率达到</w:t>
      </w:r>
      <w:r w:rsidR="006859F8" w:rsidRPr="0011664A">
        <w:rPr>
          <w:rFonts w:ascii="仿宋" w:eastAsia="仿宋" w:hAnsi="仿宋" w:hint="eastAsia"/>
          <w:sz w:val="32"/>
          <w:szCs w:val="32"/>
        </w:rPr>
        <w:t>96.43</w:t>
      </w:r>
      <w:r w:rsidRPr="0011664A">
        <w:rPr>
          <w:rFonts w:ascii="仿宋" w:eastAsia="仿宋" w:hAnsi="仿宋" w:hint="eastAsia"/>
          <w:sz w:val="32"/>
          <w:szCs w:val="32"/>
        </w:rPr>
        <w:t>%。人保、平安、</w:t>
      </w:r>
      <w:r w:rsidR="006859F8" w:rsidRPr="0011664A">
        <w:rPr>
          <w:rFonts w:ascii="仿宋" w:eastAsia="仿宋" w:hAnsi="仿宋" w:hint="eastAsia"/>
          <w:sz w:val="32"/>
          <w:szCs w:val="32"/>
        </w:rPr>
        <w:lastRenderedPageBreak/>
        <w:t>国寿财、大家、渤海、安华、亚太</w:t>
      </w:r>
      <w:r w:rsidRPr="0011664A">
        <w:rPr>
          <w:rFonts w:ascii="仿宋" w:eastAsia="仿宋" w:hAnsi="仿宋" w:hint="eastAsia"/>
          <w:sz w:val="32"/>
          <w:szCs w:val="32"/>
        </w:rPr>
        <w:t>等</w:t>
      </w:r>
      <w:r w:rsidR="0011664A" w:rsidRPr="0011664A">
        <w:rPr>
          <w:rFonts w:ascii="仿宋" w:eastAsia="仿宋" w:hAnsi="仿宋" w:hint="eastAsia"/>
          <w:sz w:val="32"/>
          <w:szCs w:val="32"/>
        </w:rPr>
        <w:t>7</w:t>
      </w:r>
      <w:r w:rsidRPr="0011664A">
        <w:rPr>
          <w:rFonts w:ascii="仿宋" w:eastAsia="仿宋" w:hAnsi="仿宋" w:hint="eastAsia"/>
          <w:sz w:val="32"/>
          <w:szCs w:val="32"/>
        </w:rPr>
        <w:t>家公司</w:t>
      </w:r>
      <w:proofErr w:type="gramStart"/>
      <w:r w:rsidRPr="0011664A">
        <w:rPr>
          <w:rFonts w:ascii="仿宋" w:eastAsia="仿宋" w:hAnsi="仿宋" w:hint="eastAsia"/>
          <w:sz w:val="32"/>
          <w:szCs w:val="32"/>
        </w:rPr>
        <w:t>交强险</w:t>
      </w:r>
      <w:proofErr w:type="gramEnd"/>
      <w:r w:rsidRPr="0011664A">
        <w:rPr>
          <w:rFonts w:ascii="仿宋" w:eastAsia="仿宋" w:hAnsi="仿宋" w:hint="eastAsia"/>
          <w:sz w:val="32"/>
          <w:szCs w:val="32"/>
        </w:rPr>
        <w:t>结案率低于市均。</w:t>
      </w:r>
    </w:p>
    <w:p w:rsidR="000651B2" w:rsidRDefault="006859F8" w:rsidP="000651B2">
      <w:pPr>
        <w:rPr>
          <w:rFonts w:ascii="仿宋" w:eastAsia="仿宋" w:hAnsi="仿宋"/>
          <w:sz w:val="32"/>
          <w:szCs w:val="32"/>
        </w:rPr>
      </w:pPr>
      <w:r>
        <w:rPr>
          <w:noProof/>
        </w:rPr>
        <w:drawing>
          <wp:inline distT="0" distB="0" distL="0" distR="0" wp14:anchorId="4C1CBE12" wp14:editId="6F13BC15">
            <wp:extent cx="5274310" cy="1827084"/>
            <wp:effectExtent l="0" t="0" r="21590" b="20955"/>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0651B2" w:rsidRPr="0011664A" w:rsidRDefault="000651B2" w:rsidP="000651B2">
      <w:pPr>
        <w:rPr>
          <w:rFonts w:ascii="仿宋" w:eastAsia="仿宋" w:hAnsi="仿宋"/>
          <w:b/>
          <w:sz w:val="32"/>
          <w:szCs w:val="32"/>
        </w:rPr>
      </w:pPr>
      <w:r>
        <w:rPr>
          <w:rFonts w:ascii="仿宋" w:eastAsia="仿宋" w:hAnsi="仿宋" w:hint="eastAsia"/>
          <w:sz w:val="32"/>
          <w:szCs w:val="32"/>
        </w:rPr>
        <w:t xml:space="preserve">    </w:t>
      </w:r>
      <w:r w:rsidRPr="0011664A">
        <w:rPr>
          <w:rFonts w:ascii="仿宋" w:eastAsia="仿宋" w:hAnsi="仿宋" w:hint="eastAsia"/>
          <w:b/>
          <w:sz w:val="32"/>
          <w:szCs w:val="32"/>
        </w:rPr>
        <w:t>（三）结案周期情况</w:t>
      </w:r>
    </w:p>
    <w:p w:rsidR="00B52ADD" w:rsidRPr="0011664A" w:rsidRDefault="00890947" w:rsidP="000651B2">
      <w:pPr>
        <w:ind w:firstLineChars="200" w:firstLine="643"/>
        <w:rPr>
          <w:rFonts w:ascii="仿宋" w:eastAsia="仿宋" w:hAnsi="仿宋"/>
          <w:sz w:val="32"/>
          <w:szCs w:val="32"/>
        </w:rPr>
      </w:pPr>
      <w:r w:rsidRPr="0011664A">
        <w:rPr>
          <w:rFonts w:ascii="仿宋" w:eastAsia="仿宋" w:hAnsi="仿宋" w:hint="eastAsia"/>
          <w:b/>
          <w:bCs/>
          <w:sz w:val="32"/>
          <w:szCs w:val="32"/>
        </w:rPr>
        <w:t>商业车险</w:t>
      </w:r>
      <w:r w:rsidRPr="0011664A">
        <w:rPr>
          <w:rFonts w:ascii="仿宋" w:eastAsia="仿宋" w:hAnsi="仿宋" w:hint="eastAsia"/>
          <w:sz w:val="32"/>
          <w:szCs w:val="32"/>
        </w:rPr>
        <w:t>：</w:t>
      </w:r>
      <w:r w:rsidR="00045FB2" w:rsidRPr="0011664A">
        <w:rPr>
          <w:rFonts w:ascii="仿宋" w:eastAsia="仿宋" w:hAnsi="仿宋" w:hint="eastAsia"/>
          <w:sz w:val="32"/>
          <w:szCs w:val="32"/>
        </w:rPr>
        <w:t>9月末</w:t>
      </w:r>
      <w:r w:rsidRPr="0011664A">
        <w:rPr>
          <w:rFonts w:ascii="仿宋" w:eastAsia="仿宋" w:hAnsi="仿宋" w:hint="eastAsia"/>
          <w:sz w:val="32"/>
          <w:szCs w:val="32"/>
        </w:rPr>
        <w:t>，丹东地区商业车险平均结案周期</w:t>
      </w:r>
      <w:r w:rsidR="0011664A" w:rsidRPr="0011664A">
        <w:rPr>
          <w:rFonts w:ascii="仿宋" w:eastAsia="仿宋" w:hAnsi="仿宋" w:hint="eastAsia"/>
          <w:sz w:val="32"/>
          <w:szCs w:val="32"/>
        </w:rPr>
        <w:t>13.06</w:t>
      </w:r>
      <w:r w:rsidRPr="0011664A">
        <w:rPr>
          <w:rFonts w:ascii="仿宋" w:eastAsia="仿宋" w:hAnsi="仿宋" w:hint="eastAsia"/>
          <w:sz w:val="32"/>
          <w:szCs w:val="32"/>
        </w:rPr>
        <w:t>天，较省均（12.</w:t>
      </w:r>
      <w:r w:rsidR="0011664A" w:rsidRPr="0011664A">
        <w:rPr>
          <w:rFonts w:ascii="仿宋" w:eastAsia="仿宋" w:hAnsi="仿宋" w:hint="eastAsia"/>
          <w:sz w:val="32"/>
          <w:szCs w:val="32"/>
        </w:rPr>
        <w:t>3</w:t>
      </w:r>
      <w:r w:rsidRPr="0011664A">
        <w:rPr>
          <w:rFonts w:ascii="仿宋" w:eastAsia="仿宋" w:hAnsi="仿宋" w:hint="eastAsia"/>
          <w:sz w:val="32"/>
          <w:szCs w:val="32"/>
        </w:rPr>
        <w:t>6天）长</w:t>
      </w:r>
      <w:r w:rsidR="0011664A" w:rsidRPr="0011664A">
        <w:rPr>
          <w:rFonts w:ascii="仿宋" w:eastAsia="仿宋" w:hAnsi="仿宋" w:hint="eastAsia"/>
          <w:sz w:val="32"/>
          <w:szCs w:val="32"/>
        </w:rPr>
        <w:t>0.7</w:t>
      </w:r>
      <w:r w:rsidRPr="0011664A">
        <w:rPr>
          <w:rFonts w:ascii="仿宋" w:eastAsia="仿宋" w:hAnsi="仿宋" w:hint="eastAsia"/>
          <w:sz w:val="32"/>
          <w:szCs w:val="32"/>
        </w:rPr>
        <w:t>天，</w:t>
      </w:r>
      <w:r w:rsidR="0011664A" w:rsidRPr="0011664A">
        <w:rPr>
          <w:rFonts w:ascii="仿宋" w:eastAsia="仿宋" w:hAnsi="仿宋" w:hint="eastAsia"/>
          <w:sz w:val="32"/>
          <w:szCs w:val="32"/>
        </w:rPr>
        <w:t>太平洋、</w:t>
      </w:r>
      <w:r w:rsidRPr="0011664A">
        <w:rPr>
          <w:rFonts w:ascii="仿宋" w:eastAsia="仿宋" w:hAnsi="仿宋" w:hint="eastAsia"/>
          <w:sz w:val="32"/>
          <w:szCs w:val="32"/>
        </w:rPr>
        <w:t>平安、中华联合、</w:t>
      </w:r>
      <w:r w:rsidR="0011664A" w:rsidRPr="0011664A">
        <w:rPr>
          <w:rFonts w:ascii="仿宋" w:eastAsia="仿宋" w:hAnsi="仿宋" w:hint="eastAsia"/>
          <w:sz w:val="32"/>
          <w:szCs w:val="32"/>
        </w:rPr>
        <w:t>阳光、</w:t>
      </w:r>
      <w:r w:rsidRPr="0011664A">
        <w:rPr>
          <w:rFonts w:ascii="仿宋" w:eastAsia="仿宋" w:hAnsi="仿宋" w:hint="eastAsia"/>
          <w:sz w:val="32"/>
          <w:szCs w:val="32"/>
        </w:rPr>
        <w:t>太平、</w:t>
      </w:r>
      <w:r w:rsidR="0011664A" w:rsidRPr="0011664A">
        <w:rPr>
          <w:rFonts w:ascii="仿宋" w:eastAsia="仿宋" w:hAnsi="仿宋" w:hint="eastAsia"/>
          <w:sz w:val="32"/>
          <w:szCs w:val="32"/>
        </w:rPr>
        <w:t>永城、华安、亚太、英大、中航安盟、大地、永安、富邦</w:t>
      </w:r>
      <w:r w:rsidRPr="0011664A">
        <w:rPr>
          <w:rFonts w:ascii="仿宋" w:eastAsia="仿宋" w:hAnsi="仿宋" w:hint="eastAsia"/>
          <w:sz w:val="32"/>
          <w:szCs w:val="32"/>
        </w:rPr>
        <w:t>等1</w:t>
      </w:r>
      <w:r w:rsidR="0011664A" w:rsidRPr="0011664A">
        <w:rPr>
          <w:rFonts w:ascii="仿宋" w:eastAsia="仿宋" w:hAnsi="仿宋" w:hint="eastAsia"/>
          <w:sz w:val="32"/>
          <w:szCs w:val="32"/>
        </w:rPr>
        <w:t>3</w:t>
      </w:r>
      <w:r w:rsidRPr="0011664A">
        <w:rPr>
          <w:rFonts w:ascii="仿宋" w:eastAsia="仿宋" w:hAnsi="仿宋" w:hint="eastAsia"/>
          <w:sz w:val="32"/>
          <w:szCs w:val="32"/>
        </w:rPr>
        <w:t>家机构商业车险结案周期低于地区平均水平，其中：永城商业车险结案天数最少，仅为</w:t>
      </w:r>
      <w:r w:rsidR="0011664A">
        <w:rPr>
          <w:rFonts w:ascii="仿宋" w:eastAsia="仿宋" w:hAnsi="仿宋" w:hint="eastAsia"/>
          <w:sz w:val="32"/>
          <w:szCs w:val="32"/>
        </w:rPr>
        <w:t>5.63</w:t>
      </w:r>
      <w:r w:rsidRPr="0011664A">
        <w:rPr>
          <w:rFonts w:ascii="仿宋" w:eastAsia="仿宋" w:hAnsi="仿宋" w:hint="eastAsia"/>
          <w:sz w:val="32"/>
          <w:szCs w:val="32"/>
        </w:rPr>
        <w:t>天。</w:t>
      </w:r>
    </w:p>
    <w:p w:rsidR="000651B2" w:rsidRPr="000651B2" w:rsidRDefault="000651B2" w:rsidP="000651B2">
      <w:pPr>
        <w:rPr>
          <w:rFonts w:ascii="仿宋" w:eastAsia="仿宋" w:hAnsi="仿宋"/>
          <w:sz w:val="32"/>
          <w:szCs w:val="32"/>
        </w:rPr>
      </w:pPr>
      <w:r w:rsidRPr="0011664A">
        <w:rPr>
          <w:rFonts w:ascii="仿宋" w:eastAsia="仿宋" w:hAnsi="仿宋" w:hint="eastAsia"/>
          <w:sz w:val="32"/>
          <w:szCs w:val="32"/>
        </w:rPr>
        <w:t xml:space="preserve">   人保、</w:t>
      </w:r>
      <w:r w:rsidR="0011664A" w:rsidRPr="0011664A">
        <w:rPr>
          <w:rFonts w:ascii="仿宋" w:eastAsia="仿宋" w:hAnsi="仿宋" w:hint="eastAsia"/>
          <w:sz w:val="32"/>
          <w:szCs w:val="32"/>
        </w:rPr>
        <w:t>国寿财</w:t>
      </w:r>
      <w:r w:rsidRPr="0011664A">
        <w:rPr>
          <w:rFonts w:ascii="仿宋" w:eastAsia="仿宋" w:hAnsi="仿宋" w:hint="eastAsia"/>
          <w:sz w:val="32"/>
          <w:szCs w:val="32"/>
        </w:rPr>
        <w:t>、</w:t>
      </w:r>
      <w:r w:rsidR="0011664A" w:rsidRPr="0011664A">
        <w:rPr>
          <w:rFonts w:ascii="仿宋" w:eastAsia="仿宋" w:hAnsi="仿宋" w:hint="eastAsia"/>
          <w:sz w:val="32"/>
          <w:szCs w:val="32"/>
        </w:rPr>
        <w:t>浙商、大家、天安、渤海、安华</w:t>
      </w:r>
      <w:r w:rsidRPr="0011664A">
        <w:rPr>
          <w:rFonts w:ascii="仿宋" w:eastAsia="仿宋" w:hAnsi="仿宋" w:hint="eastAsia"/>
          <w:sz w:val="32"/>
          <w:szCs w:val="32"/>
        </w:rPr>
        <w:t>等</w:t>
      </w:r>
      <w:r w:rsidR="0011664A" w:rsidRPr="0011664A">
        <w:rPr>
          <w:rFonts w:ascii="仿宋" w:eastAsia="仿宋" w:hAnsi="仿宋" w:hint="eastAsia"/>
          <w:sz w:val="32"/>
          <w:szCs w:val="32"/>
        </w:rPr>
        <w:t>7</w:t>
      </w:r>
      <w:r w:rsidRPr="0011664A">
        <w:rPr>
          <w:rFonts w:ascii="仿宋" w:eastAsia="仿宋" w:hAnsi="仿宋" w:hint="eastAsia"/>
          <w:sz w:val="32"/>
          <w:szCs w:val="32"/>
        </w:rPr>
        <w:t>家机构商业车险结案周期高于全市平均水平。</w:t>
      </w:r>
    </w:p>
    <w:p w:rsidR="000651B2" w:rsidRDefault="0011664A" w:rsidP="000651B2">
      <w:pPr>
        <w:rPr>
          <w:rFonts w:ascii="仿宋" w:eastAsia="仿宋" w:hAnsi="仿宋"/>
          <w:sz w:val="32"/>
          <w:szCs w:val="32"/>
        </w:rPr>
      </w:pPr>
      <w:r>
        <w:rPr>
          <w:noProof/>
        </w:rPr>
        <w:drawing>
          <wp:inline distT="0" distB="0" distL="0" distR="0" wp14:anchorId="2CD047D6" wp14:editId="4EF4C4C9">
            <wp:extent cx="5271715" cy="2242268"/>
            <wp:effectExtent l="0" t="0" r="24765" b="24765"/>
            <wp:docPr id="15" name="图表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B52ADD" w:rsidRPr="00601628" w:rsidRDefault="00890947" w:rsidP="000651B2">
      <w:pPr>
        <w:ind w:firstLineChars="200" w:firstLine="643"/>
        <w:rPr>
          <w:rFonts w:ascii="仿宋" w:eastAsia="仿宋" w:hAnsi="仿宋"/>
          <w:sz w:val="32"/>
          <w:szCs w:val="32"/>
        </w:rPr>
      </w:pPr>
      <w:proofErr w:type="gramStart"/>
      <w:r w:rsidRPr="00601628">
        <w:rPr>
          <w:rFonts w:ascii="仿宋" w:eastAsia="仿宋" w:hAnsi="仿宋" w:hint="eastAsia"/>
          <w:b/>
          <w:bCs/>
          <w:sz w:val="32"/>
          <w:szCs w:val="32"/>
        </w:rPr>
        <w:lastRenderedPageBreak/>
        <w:t>交强险</w:t>
      </w:r>
      <w:proofErr w:type="gramEnd"/>
      <w:r w:rsidRPr="00601628">
        <w:rPr>
          <w:rFonts w:ascii="仿宋" w:eastAsia="仿宋" w:hAnsi="仿宋" w:hint="eastAsia"/>
          <w:b/>
          <w:bCs/>
          <w:sz w:val="32"/>
          <w:szCs w:val="32"/>
        </w:rPr>
        <w:t>：</w:t>
      </w:r>
      <w:r w:rsidR="00045FB2" w:rsidRPr="00601628">
        <w:rPr>
          <w:rFonts w:ascii="仿宋" w:eastAsia="仿宋" w:hAnsi="仿宋" w:hint="eastAsia"/>
          <w:b/>
          <w:bCs/>
          <w:sz w:val="32"/>
          <w:szCs w:val="32"/>
        </w:rPr>
        <w:t xml:space="preserve"> </w:t>
      </w:r>
      <w:r w:rsidR="00045FB2" w:rsidRPr="00601628">
        <w:rPr>
          <w:rFonts w:ascii="仿宋" w:eastAsia="仿宋" w:hAnsi="仿宋" w:hint="eastAsia"/>
          <w:sz w:val="32"/>
          <w:szCs w:val="32"/>
        </w:rPr>
        <w:t>9月末</w:t>
      </w:r>
      <w:r w:rsidRPr="00601628">
        <w:rPr>
          <w:rFonts w:ascii="仿宋" w:eastAsia="仿宋" w:hAnsi="仿宋" w:hint="eastAsia"/>
          <w:sz w:val="32"/>
          <w:szCs w:val="32"/>
        </w:rPr>
        <w:t>，丹东地区</w:t>
      </w:r>
      <w:proofErr w:type="gramStart"/>
      <w:r w:rsidRPr="00601628">
        <w:rPr>
          <w:rFonts w:ascii="仿宋" w:eastAsia="仿宋" w:hAnsi="仿宋" w:hint="eastAsia"/>
          <w:sz w:val="32"/>
          <w:szCs w:val="32"/>
        </w:rPr>
        <w:t>交强险</w:t>
      </w:r>
      <w:proofErr w:type="gramEnd"/>
      <w:r w:rsidRPr="00601628">
        <w:rPr>
          <w:rFonts w:ascii="仿宋" w:eastAsia="仿宋" w:hAnsi="仿宋" w:hint="eastAsia"/>
          <w:sz w:val="32"/>
          <w:szCs w:val="32"/>
        </w:rPr>
        <w:t>平均结案周期</w:t>
      </w:r>
      <w:r w:rsidR="0011664A" w:rsidRPr="00601628">
        <w:rPr>
          <w:rFonts w:ascii="仿宋" w:eastAsia="仿宋" w:hAnsi="仿宋" w:hint="eastAsia"/>
          <w:sz w:val="32"/>
          <w:szCs w:val="32"/>
        </w:rPr>
        <w:t>10.56</w:t>
      </w:r>
      <w:r w:rsidRPr="00601628">
        <w:rPr>
          <w:rFonts w:ascii="仿宋" w:eastAsia="仿宋" w:hAnsi="仿宋" w:hint="eastAsia"/>
          <w:sz w:val="32"/>
          <w:szCs w:val="32"/>
        </w:rPr>
        <w:t>天，较省均（</w:t>
      </w:r>
      <w:r w:rsidR="0011664A" w:rsidRPr="00601628">
        <w:rPr>
          <w:rFonts w:ascii="仿宋" w:eastAsia="仿宋" w:hAnsi="仿宋" w:hint="eastAsia"/>
          <w:sz w:val="32"/>
          <w:szCs w:val="32"/>
        </w:rPr>
        <w:t>9.88</w:t>
      </w:r>
      <w:r w:rsidRPr="00601628">
        <w:rPr>
          <w:rFonts w:ascii="仿宋" w:eastAsia="仿宋" w:hAnsi="仿宋" w:hint="eastAsia"/>
          <w:sz w:val="32"/>
          <w:szCs w:val="32"/>
        </w:rPr>
        <w:t>天）长0.</w:t>
      </w:r>
      <w:r w:rsidR="0011664A" w:rsidRPr="00601628">
        <w:rPr>
          <w:rFonts w:ascii="仿宋" w:eastAsia="仿宋" w:hAnsi="仿宋" w:hint="eastAsia"/>
          <w:sz w:val="32"/>
          <w:szCs w:val="32"/>
        </w:rPr>
        <w:t>68</w:t>
      </w:r>
      <w:r w:rsidRPr="00601628">
        <w:rPr>
          <w:rFonts w:ascii="仿宋" w:eastAsia="仿宋" w:hAnsi="仿宋" w:hint="eastAsia"/>
          <w:sz w:val="32"/>
          <w:szCs w:val="32"/>
        </w:rPr>
        <w:t>天，太平洋、中华联合、阳光、太平、</w:t>
      </w:r>
      <w:r w:rsidR="0011664A" w:rsidRPr="00601628">
        <w:rPr>
          <w:rFonts w:ascii="仿宋" w:eastAsia="仿宋" w:hAnsi="仿宋" w:hint="eastAsia"/>
          <w:sz w:val="32"/>
          <w:szCs w:val="32"/>
        </w:rPr>
        <w:t>华安、永城、英大、大地、亚太</w:t>
      </w:r>
      <w:r w:rsidRPr="00601628">
        <w:rPr>
          <w:rFonts w:ascii="仿宋" w:eastAsia="仿宋" w:hAnsi="仿宋" w:hint="eastAsia"/>
          <w:sz w:val="32"/>
          <w:szCs w:val="32"/>
        </w:rPr>
        <w:t>等</w:t>
      </w:r>
      <w:r w:rsidR="0011664A" w:rsidRPr="00601628">
        <w:rPr>
          <w:rFonts w:ascii="仿宋" w:eastAsia="仿宋" w:hAnsi="仿宋" w:hint="eastAsia"/>
          <w:sz w:val="32"/>
          <w:szCs w:val="32"/>
        </w:rPr>
        <w:t>9</w:t>
      </w:r>
      <w:r w:rsidRPr="00601628">
        <w:rPr>
          <w:rFonts w:ascii="仿宋" w:eastAsia="仿宋" w:hAnsi="仿宋" w:hint="eastAsia"/>
          <w:sz w:val="32"/>
          <w:szCs w:val="32"/>
        </w:rPr>
        <w:t>家机构</w:t>
      </w:r>
      <w:proofErr w:type="gramStart"/>
      <w:r w:rsidRPr="00601628">
        <w:rPr>
          <w:rFonts w:ascii="仿宋" w:eastAsia="仿宋" w:hAnsi="仿宋" w:hint="eastAsia"/>
          <w:sz w:val="32"/>
          <w:szCs w:val="32"/>
        </w:rPr>
        <w:t>交强险</w:t>
      </w:r>
      <w:proofErr w:type="gramEnd"/>
      <w:r w:rsidRPr="00601628">
        <w:rPr>
          <w:rFonts w:ascii="仿宋" w:eastAsia="仿宋" w:hAnsi="仿宋" w:hint="eastAsia"/>
          <w:sz w:val="32"/>
          <w:szCs w:val="32"/>
        </w:rPr>
        <w:t>结案周期低于地区平均水平，其中：</w:t>
      </w:r>
      <w:r w:rsidR="00601628" w:rsidRPr="00601628">
        <w:rPr>
          <w:rFonts w:ascii="仿宋" w:eastAsia="仿宋" w:hAnsi="仿宋" w:hint="eastAsia"/>
          <w:sz w:val="32"/>
          <w:szCs w:val="32"/>
        </w:rPr>
        <w:t>华安</w:t>
      </w:r>
      <w:proofErr w:type="gramStart"/>
      <w:r w:rsidRPr="00601628">
        <w:rPr>
          <w:rFonts w:ascii="仿宋" w:eastAsia="仿宋" w:hAnsi="仿宋" w:hint="eastAsia"/>
          <w:sz w:val="32"/>
          <w:szCs w:val="32"/>
        </w:rPr>
        <w:t>交强险</w:t>
      </w:r>
      <w:proofErr w:type="gramEnd"/>
      <w:r w:rsidRPr="00601628">
        <w:rPr>
          <w:rFonts w:ascii="仿宋" w:eastAsia="仿宋" w:hAnsi="仿宋" w:hint="eastAsia"/>
          <w:sz w:val="32"/>
          <w:szCs w:val="32"/>
        </w:rPr>
        <w:t>结案周期最短，仅为</w:t>
      </w:r>
      <w:r w:rsidR="00601628" w:rsidRPr="00601628">
        <w:rPr>
          <w:rFonts w:ascii="仿宋" w:eastAsia="仿宋" w:hAnsi="仿宋" w:hint="eastAsia"/>
          <w:sz w:val="32"/>
          <w:szCs w:val="32"/>
        </w:rPr>
        <w:t>5.62</w:t>
      </w:r>
      <w:r w:rsidRPr="00601628">
        <w:rPr>
          <w:rFonts w:ascii="仿宋" w:eastAsia="仿宋" w:hAnsi="仿宋" w:hint="eastAsia"/>
          <w:sz w:val="32"/>
          <w:szCs w:val="32"/>
        </w:rPr>
        <w:t>天。</w:t>
      </w:r>
    </w:p>
    <w:p w:rsidR="000651B2" w:rsidRPr="000651B2" w:rsidRDefault="000651B2" w:rsidP="000651B2">
      <w:pPr>
        <w:rPr>
          <w:rFonts w:ascii="仿宋" w:eastAsia="仿宋" w:hAnsi="仿宋"/>
          <w:sz w:val="32"/>
          <w:szCs w:val="32"/>
        </w:rPr>
      </w:pPr>
      <w:r w:rsidRPr="00601628">
        <w:rPr>
          <w:rFonts w:ascii="仿宋" w:eastAsia="仿宋" w:hAnsi="仿宋" w:hint="eastAsia"/>
          <w:sz w:val="32"/>
          <w:szCs w:val="32"/>
        </w:rPr>
        <w:t xml:space="preserve">    人保、平安、国寿财、</w:t>
      </w:r>
      <w:r w:rsidR="00601628" w:rsidRPr="00601628">
        <w:rPr>
          <w:rFonts w:ascii="仿宋" w:eastAsia="仿宋" w:hAnsi="仿宋" w:hint="eastAsia"/>
          <w:sz w:val="32"/>
          <w:szCs w:val="32"/>
        </w:rPr>
        <w:t>永安、渤海、中航安盟、大家、天安、富邦、浙商、安华</w:t>
      </w:r>
      <w:r w:rsidRPr="00601628">
        <w:rPr>
          <w:rFonts w:ascii="仿宋" w:eastAsia="仿宋" w:hAnsi="仿宋" w:hint="eastAsia"/>
          <w:sz w:val="32"/>
          <w:szCs w:val="32"/>
        </w:rPr>
        <w:t>等</w:t>
      </w:r>
      <w:r w:rsidR="00601628" w:rsidRPr="00601628">
        <w:rPr>
          <w:rFonts w:ascii="仿宋" w:eastAsia="仿宋" w:hAnsi="仿宋" w:hint="eastAsia"/>
          <w:sz w:val="32"/>
          <w:szCs w:val="32"/>
        </w:rPr>
        <w:t>11</w:t>
      </w:r>
      <w:r w:rsidRPr="00601628">
        <w:rPr>
          <w:rFonts w:ascii="仿宋" w:eastAsia="仿宋" w:hAnsi="仿宋" w:hint="eastAsia"/>
          <w:sz w:val="32"/>
          <w:szCs w:val="32"/>
        </w:rPr>
        <w:t>家机构</w:t>
      </w:r>
      <w:proofErr w:type="gramStart"/>
      <w:r w:rsidRPr="00601628">
        <w:rPr>
          <w:rFonts w:ascii="仿宋" w:eastAsia="仿宋" w:hAnsi="仿宋" w:hint="eastAsia"/>
          <w:sz w:val="32"/>
          <w:szCs w:val="32"/>
        </w:rPr>
        <w:t>交强险</w:t>
      </w:r>
      <w:proofErr w:type="gramEnd"/>
      <w:r w:rsidRPr="00601628">
        <w:rPr>
          <w:rFonts w:ascii="仿宋" w:eastAsia="仿宋" w:hAnsi="仿宋" w:hint="eastAsia"/>
          <w:sz w:val="32"/>
          <w:szCs w:val="32"/>
        </w:rPr>
        <w:t>结案周期高于全市平均水平。</w:t>
      </w:r>
    </w:p>
    <w:p w:rsidR="000651B2" w:rsidRDefault="0011664A" w:rsidP="000651B2">
      <w:pPr>
        <w:rPr>
          <w:rFonts w:ascii="仿宋" w:eastAsia="仿宋" w:hAnsi="仿宋"/>
          <w:sz w:val="32"/>
          <w:szCs w:val="32"/>
        </w:rPr>
      </w:pPr>
      <w:r>
        <w:rPr>
          <w:noProof/>
        </w:rPr>
        <w:drawing>
          <wp:inline distT="0" distB="0" distL="0" distR="0" wp14:anchorId="66F25A96" wp14:editId="11F47C18">
            <wp:extent cx="5274310" cy="2360620"/>
            <wp:effectExtent l="0" t="0" r="21590" b="20955"/>
            <wp:docPr id="17" name="图表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0651B2" w:rsidRPr="00B727E1" w:rsidRDefault="000651B2" w:rsidP="00890947">
      <w:pPr>
        <w:pStyle w:val="a3"/>
        <w:numPr>
          <w:ilvl w:val="0"/>
          <w:numId w:val="5"/>
        </w:numPr>
        <w:ind w:firstLineChars="0"/>
        <w:rPr>
          <w:rFonts w:ascii="仿宋" w:eastAsia="仿宋" w:hAnsi="仿宋"/>
          <w:b/>
          <w:sz w:val="32"/>
          <w:szCs w:val="32"/>
        </w:rPr>
      </w:pPr>
      <w:r w:rsidRPr="00B727E1">
        <w:rPr>
          <w:rFonts w:ascii="仿宋" w:eastAsia="仿宋" w:hAnsi="仿宋" w:hint="eastAsia"/>
          <w:b/>
          <w:sz w:val="32"/>
          <w:szCs w:val="32"/>
        </w:rPr>
        <w:t>费用情况通报</w:t>
      </w:r>
    </w:p>
    <w:p w:rsidR="00B52ADD" w:rsidRPr="00B727E1" w:rsidRDefault="00890947" w:rsidP="000651B2">
      <w:pPr>
        <w:ind w:firstLineChars="200" w:firstLine="643"/>
        <w:rPr>
          <w:rFonts w:ascii="仿宋" w:eastAsia="仿宋" w:hAnsi="仿宋"/>
          <w:sz w:val="32"/>
          <w:szCs w:val="32"/>
        </w:rPr>
      </w:pPr>
      <w:r w:rsidRPr="00B727E1">
        <w:rPr>
          <w:rFonts w:ascii="仿宋" w:eastAsia="仿宋" w:hAnsi="仿宋" w:hint="eastAsia"/>
          <w:b/>
          <w:bCs/>
          <w:sz w:val="32"/>
          <w:szCs w:val="32"/>
        </w:rPr>
        <w:t>综合费用率：</w:t>
      </w:r>
      <w:r w:rsidR="00045FB2" w:rsidRPr="00B727E1">
        <w:rPr>
          <w:rFonts w:ascii="仿宋" w:eastAsia="仿宋" w:hAnsi="仿宋" w:hint="eastAsia"/>
          <w:sz w:val="32"/>
          <w:szCs w:val="32"/>
        </w:rPr>
        <w:t>9月末</w:t>
      </w:r>
      <w:r w:rsidRPr="00B727E1">
        <w:rPr>
          <w:rFonts w:ascii="仿宋" w:eastAsia="仿宋" w:hAnsi="仿宋" w:hint="eastAsia"/>
          <w:sz w:val="32"/>
          <w:szCs w:val="32"/>
        </w:rPr>
        <w:t>，丹东地区财险市场综合费用率</w:t>
      </w:r>
      <w:r w:rsidR="00B727E1" w:rsidRPr="00B727E1">
        <w:rPr>
          <w:rFonts w:ascii="仿宋" w:eastAsia="仿宋" w:hAnsi="仿宋" w:hint="eastAsia"/>
          <w:sz w:val="32"/>
          <w:szCs w:val="32"/>
        </w:rPr>
        <w:t xml:space="preserve">38 </w:t>
      </w:r>
      <w:r w:rsidRPr="00B727E1">
        <w:rPr>
          <w:rFonts w:ascii="仿宋" w:eastAsia="仿宋" w:hAnsi="仿宋" w:hint="eastAsia"/>
          <w:sz w:val="32"/>
          <w:szCs w:val="32"/>
        </w:rPr>
        <w:t>%，同比上升</w:t>
      </w:r>
      <w:r w:rsidR="00B727E1" w:rsidRPr="00B727E1">
        <w:rPr>
          <w:rFonts w:ascii="仿宋" w:eastAsia="仿宋" w:hAnsi="仿宋" w:hint="eastAsia"/>
          <w:sz w:val="32"/>
          <w:szCs w:val="32"/>
        </w:rPr>
        <w:t>2.82</w:t>
      </w:r>
      <w:r w:rsidRPr="00B727E1">
        <w:rPr>
          <w:rFonts w:ascii="仿宋" w:eastAsia="仿宋" w:hAnsi="仿宋" w:hint="eastAsia"/>
          <w:sz w:val="32"/>
          <w:szCs w:val="32"/>
        </w:rPr>
        <w:t>个百分点，</w:t>
      </w:r>
      <w:proofErr w:type="gramStart"/>
      <w:r w:rsidRPr="00B727E1">
        <w:rPr>
          <w:rFonts w:ascii="仿宋" w:eastAsia="仿宋" w:hAnsi="仿宋" w:hint="eastAsia"/>
          <w:sz w:val="32"/>
          <w:szCs w:val="32"/>
        </w:rPr>
        <w:t>优于省</w:t>
      </w:r>
      <w:proofErr w:type="gramEnd"/>
      <w:r w:rsidRPr="00B727E1">
        <w:rPr>
          <w:rFonts w:ascii="仿宋" w:eastAsia="仿宋" w:hAnsi="仿宋" w:hint="eastAsia"/>
          <w:sz w:val="32"/>
          <w:szCs w:val="32"/>
        </w:rPr>
        <w:t>均</w:t>
      </w:r>
      <w:r w:rsidR="00B727E1" w:rsidRPr="00B727E1">
        <w:rPr>
          <w:rFonts w:ascii="仿宋" w:eastAsia="仿宋" w:hAnsi="仿宋" w:hint="eastAsia"/>
          <w:sz w:val="32"/>
          <w:szCs w:val="32"/>
        </w:rPr>
        <w:t>1.75</w:t>
      </w:r>
      <w:r w:rsidRPr="00B727E1">
        <w:rPr>
          <w:rFonts w:ascii="仿宋" w:eastAsia="仿宋" w:hAnsi="仿宋" w:hint="eastAsia"/>
          <w:sz w:val="32"/>
          <w:szCs w:val="32"/>
        </w:rPr>
        <w:t>个百分点。其中车险综合费用率</w:t>
      </w:r>
      <w:r w:rsidR="00B727E1" w:rsidRPr="00B727E1">
        <w:rPr>
          <w:rFonts w:ascii="仿宋" w:eastAsia="仿宋" w:hAnsi="仿宋" w:hint="eastAsia"/>
          <w:sz w:val="32"/>
          <w:szCs w:val="32"/>
        </w:rPr>
        <w:t>44.5</w:t>
      </w:r>
      <w:r w:rsidRPr="00B727E1">
        <w:rPr>
          <w:rFonts w:ascii="仿宋" w:eastAsia="仿宋" w:hAnsi="仿宋" w:hint="eastAsia"/>
          <w:sz w:val="32"/>
          <w:szCs w:val="32"/>
        </w:rPr>
        <w:t>%，同比上升</w:t>
      </w:r>
      <w:r w:rsidR="00B727E1" w:rsidRPr="00B727E1">
        <w:rPr>
          <w:rFonts w:ascii="仿宋" w:eastAsia="仿宋" w:hAnsi="仿宋" w:hint="eastAsia"/>
          <w:sz w:val="32"/>
          <w:szCs w:val="32"/>
        </w:rPr>
        <w:t>8.04</w:t>
      </w:r>
      <w:r w:rsidRPr="00B727E1">
        <w:rPr>
          <w:rFonts w:ascii="仿宋" w:eastAsia="仿宋" w:hAnsi="仿宋" w:hint="eastAsia"/>
          <w:sz w:val="32"/>
          <w:szCs w:val="32"/>
        </w:rPr>
        <w:t>个百分点。</w:t>
      </w:r>
    </w:p>
    <w:p w:rsidR="00B52ADD" w:rsidRPr="00A03423" w:rsidRDefault="00890947" w:rsidP="000651B2">
      <w:pPr>
        <w:ind w:firstLineChars="200" w:firstLine="643"/>
        <w:rPr>
          <w:rFonts w:ascii="仿宋" w:eastAsia="仿宋" w:hAnsi="仿宋"/>
          <w:sz w:val="32"/>
          <w:szCs w:val="32"/>
        </w:rPr>
      </w:pPr>
      <w:r w:rsidRPr="00A03423">
        <w:rPr>
          <w:rFonts w:ascii="仿宋" w:eastAsia="仿宋" w:hAnsi="仿宋" w:hint="eastAsia"/>
          <w:b/>
          <w:bCs/>
          <w:sz w:val="32"/>
          <w:szCs w:val="32"/>
        </w:rPr>
        <w:t>手续费率：</w:t>
      </w:r>
      <w:r w:rsidRPr="00A03423">
        <w:rPr>
          <w:rFonts w:ascii="仿宋" w:eastAsia="仿宋" w:hAnsi="仿宋" w:hint="eastAsia"/>
          <w:sz w:val="32"/>
          <w:szCs w:val="32"/>
        </w:rPr>
        <w:t xml:space="preserve"> </w:t>
      </w:r>
      <w:r w:rsidR="00045FB2" w:rsidRPr="00A03423">
        <w:rPr>
          <w:rFonts w:ascii="仿宋" w:eastAsia="仿宋" w:hAnsi="仿宋" w:hint="eastAsia"/>
          <w:sz w:val="32"/>
          <w:szCs w:val="32"/>
        </w:rPr>
        <w:t>9月末</w:t>
      </w:r>
      <w:r w:rsidRPr="00A03423">
        <w:rPr>
          <w:rFonts w:ascii="仿宋" w:eastAsia="仿宋" w:hAnsi="仿宋" w:hint="eastAsia"/>
          <w:sz w:val="32"/>
          <w:szCs w:val="32"/>
        </w:rPr>
        <w:t>， 行业整体手续费率</w:t>
      </w:r>
      <w:r w:rsidR="00F8056E" w:rsidRPr="00A03423">
        <w:rPr>
          <w:rFonts w:ascii="仿宋" w:eastAsia="仿宋" w:hAnsi="仿宋" w:hint="eastAsia"/>
          <w:sz w:val="32"/>
          <w:szCs w:val="32"/>
        </w:rPr>
        <w:t>14.8</w:t>
      </w:r>
      <w:r w:rsidR="00A03423" w:rsidRPr="00A03423">
        <w:rPr>
          <w:rFonts w:ascii="仿宋" w:eastAsia="仿宋" w:hAnsi="仿宋" w:hint="eastAsia"/>
          <w:sz w:val="32"/>
          <w:szCs w:val="32"/>
        </w:rPr>
        <w:t>8</w:t>
      </w:r>
      <w:r w:rsidRPr="00A03423">
        <w:rPr>
          <w:rFonts w:ascii="仿宋" w:eastAsia="仿宋" w:hAnsi="仿宋" w:hint="eastAsia"/>
          <w:sz w:val="32"/>
          <w:szCs w:val="32"/>
        </w:rPr>
        <w:t>%，同比</w:t>
      </w:r>
      <w:r w:rsidR="00F8056E" w:rsidRPr="00A03423">
        <w:rPr>
          <w:rFonts w:ascii="仿宋" w:eastAsia="仿宋" w:hAnsi="仿宋" w:hint="eastAsia"/>
          <w:sz w:val="32"/>
          <w:szCs w:val="32"/>
        </w:rPr>
        <w:t>下降</w:t>
      </w:r>
      <w:r w:rsidRPr="00A03423">
        <w:rPr>
          <w:rFonts w:ascii="仿宋" w:eastAsia="仿宋" w:hAnsi="仿宋" w:hint="eastAsia"/>
          <w:sz w:val="32"/>
          <w:szCs w:val="32"/>
        </w:rPr>
        <w:t>（</w:t>
      </w:r>
      <w:r w:rsidR="00B727E1" w:rsidRPr="00A03423">
        <w:rPr>
          <w:rFonts w:ascii="仿宋" w:eastAsia="仿宋" w:hAnsi="仿宋" w:hint="eastAsia"/>
          <w:sz w:val="32"/>
          <w:szCs w:val="32"/>
        </w:rPr>
        <w:t>14.98</w:t>
      </w:r>
      <w:r w:rsidRPr="00A03423">
        <w:rPr>
          <w:rFonts w:ascii="仿宋" w:eastAsia="仿宋" w:hAnsi="仿宋" w:hint="eastAsia"/>
          <w:sz w:val="32"/>
          <w:szCs w:val="32"/>
        </w:rPr>
        <w:t>%）</w:t>
      </w:r>
      <w:r w:rsidR="00B727E1" w:rsidRPr="00A03423">
        <w:rPr>
          <w:rFonts w:ascii="仿宋" w:eastAsia="仿宋" w:hAnsi="仿宋" w:hint="eastAsia"/>
          <w:sz w:val="32"/>
          <w:szCs w:val="32"/>
        </w:rPr>
        <w:t>0.</w:t>
      </w:r>
      <w:r w:rsidR="00A03423" w:rsidRPr="00A03423">
        <w:rPr>
          <w:rFonts w:ascii="仿宋" w:eastAsia="仿宋" w:hAnsi="仿宋" w:hint="eastAsia"/>
          <w:sz w:val="32"/>
          <w:szCs w:val="32"/>
        </w:rPr>
        <w:t>1</w:t>
      </w:r>
      <w:r w:rsidRPr="00A03423">
        <w:rPr>
          <w:rFonts w:ascii="仿宋" w:eastAsia="仿宋" w:hAnsi="仿宋" w:hint="eastAsia"/>
          <w:sz w:val="32"/>
          <w:szCs w:val="32"/>
        </w:rPr>
        <w:t>个百分点。商业车险手续费率</w:t>
      </w:r>
      <w:r w:rsidR="00F8056E" w:rsidRPr="00A03423">
        <w:rPr>
          <w:rFonts w:ascii="仿宋" w:eastAsia="仿宋" w:hAnsi="仿宋" w:hint="eastAsia"/>
          <w:sz w:val="32"/>
          <w:szCs w:val="32"/>
        </w:rPr>
        <w:t>20.9</w:t>
      </w:r>
      <w:r w:rsidR="00A03423" w:rsidRPr="00A03423">
        <w:rPr>
          <w:rFonts w:ascii="仿宋" w:eastAsia="仿宋" w:hAnsi="仿宋" w:hint="eastAsia"/>
          <w:sz w:val="32"/>
          <w:szCs w:val="32"/>
        </w:rPr>
        <w:t>2</w:t>
      </w:r>
      <w:r w:rsidRPr="00A03423">
        <w:rPr>
          <w:rFonts w:ascii="仿宋" w:eastAsia="仿宋" w:hAnsi="仿宋" w:hint="eastAsia"/>
          <w:sz w:val="32"/>
          <w:szCs w:val="32"/>
        </w:rPr>
        <w:t>%,同比 同比（</w:t>
      </w:r>
      <w:r w:rsidR="00B727E1" w:rsidRPr="00A03423">
        <w:rPr>
          <w:rFonts w:ascii="仿宋" w:eastAsia="仿宋" w:hAnsi="仿宋" w:hint="eastAsia"/>
          <w:sz w:val="32"/>
          <w:szCs w:val="32"/>
        </w:rPr>
        <w:t>20.76</w:t>
      </w:r>
      <w:r w:rsidRPr="00A03423">
        <w:rPr>
          <w:rFonts w:ascii="仿宋" w:eastAsia="仿宋" w:hAnsi="仿宋" w:hint="eastAsia"/>
          <w:sz w:val="32"/>
          <w:szCs w:val="32"/>
        </w:rPr>
        <w:t>% ）上升</w:t>
      </w:r>
      <w:r w:rsidR="00F8056E" w:rsidRPr="00A03423">
        <w:rPr>
          <w:rFonts w:ascii="仿宋" w:eastAsia="仿宋" w:hAnsi="仿宋" w:hint="eastAsia"/>
          <w:sz w:val="32"/>
          <w:szCs w:val="32"/>
        </w:rPr>
        <w:t>0.</w:t>
      </w:r>
      <w:r w:rsidR="00A03423" w:rsidRPr="00A03423">
        <w:rPr>
          <w:rFonts w:ascii="仿宋" w:eastAsia="仿宋" w:hAnsi="仿宋" w:hint="eastAsia"/>
          <w:sz w:val="32"/>
          <w:szCs w:val="32"/>
        </w:rPr>
        <w:t>16</w:t>
      </w:r>
      <w:r w:rsidRPr="00A03423">
        <w:rPr>
          <w:rFonts w:ascii="仿宋" w:eastAsia="仿宋" w:hAnsi="仿宋" w:hint="eastAsia"/>
          <w:sz w:val="32"/>
          <w:szCs w:val="32"/>
        </w:rPr>
        <w:t>个百分点，</w:t>
      </w:r>
      <w:proofErr w:type="gramStart"/>
      <w:r w:rsidRPr="00A03423">
        <w:rPr>
          <w:rFonts w:ascii="仿宋" w:eastAsia="仿宋" w:hAnsi="仿宋" w:hint="eastAsia"/>
          <w:sz w:val="32"/>
          <w:szCs w:val="32"/>
        </w:rPr>
        <w:t>交强险</w:t>
      </w:r>
      <w:proofErr w:type="gramEnd"/>
      <w:r w:rsidRPr="00A03423">
        <w:rPr>
          <w:rFonts w:ascii="仿宋" w:eastAsia="仿宋" w:hAnsi="仿宋" w:hint="eastAsia"/>
          <w:sz w:val="32"/>
          <w:szCs w:val="32"/>
        </w:rPr>
        <w:t>手续费率</w:t>
      </w:r>
      <w:r w:rsidR="00F8056E" w:rsidRPr="00A03423">
        <w:rPr>
          <w:rFonts w:ascii="仿宋" w:eastAsia="仿宋" w:hAnsi="仿宋" w:hint="eastAsia"/>
          <w:sz w:val="32"/>
          <w:szCs w:val="32"/>
        </w:rPr>
        <w:t>3.2</w:t>
      </w:r>
      <w:r w:rsidR="00A03423" w:rsidRPr="00A03423">
        <w:rPr>
          <w:rFonts w:ascii="仿宋" w:eastAsia="仿宋" w:hAnsi="仿宋" w:hint="eastAsia"/>
          <w:sz w:val="32"/>
          <w:szCs w:val="32"/>
        </w:rPr>
        <w:t>8</w:t>
      </w:r>
      <w:r w:rsidRPr="00A03423">
        <w:rPr>
          <w:rFonts w:ascii="仿宋" w:eastAsia="仿宋" w:hAnsi="仿宋" w:hint="eastAsia"/>
          <w:sz w:val="32"/>
          <w:szCs w:val="32"/>
        </w:rPr>
        <w:t>%，</w:t>
      </w:r>
      <w:proofErr w:type="gramStart"/>
      <w:r w:rsidRPr="00A03423">
        <w:rPr>
          <w:rFonts w:ascii="仿宋" w:eastAsia="仿宋" w:hAnsi="仿宋" w:hint="eastAsia"/>
          <w:sz w:val="32"/>
          <w:szCs w:val="32"/>
        </w:rPr>
        <w:t>商非手续费</w:t>
      </w:r>
      <w:proofErr w:type="gramEnd"/>
      <w:r w:rsidRPr="00A03423">
        <w:rPr>
          <w:rFonts w:ascii="仿宋" w:eastAsia="仿宋" w:hAnsi="仿宋" w:hint="eastAsia"/>
          <w:sz w:val="32"/>
          <w:szCs w:val="32"/>
        </w:rPr>
        <w:t>率10.</w:t>
      </w:r>
      <w:r w:rsidR="00A03423" w:rsidRPr="00A03423">
        <w:rPr>
          <w:rFonts w:ascii="仿宋" w:eastAsia="仿宋" w:hAnsi="仿宋" w:hint="eastAsia"/>
          <w:sz w:val="32"/>
          <w:szCs w:val="32"/>
        </w:rPr>
        <w:t>72</w:t>
      </w:r>
      <w:r w:rsidRPr="00A03423">
        <w:rPr>
          <w:rFonts w:ascii="仿宋" w:eastAsia="仿宋" w:hAnsi="仿宋" w:hint="eastAsia"/>
          <w:sz w:val="32"/>
          <w:szCs w:val="32"/>
        </w:rPr>
        <w:t>%。</w:t>
      </w:r>
    </w:p>
    <w:p w:rsidR="00B52ADD" w:rsidRPr="00A03423" w:rsidRDefault="00890947" w:rsidP="000651B2">
      <w:pPr>
        <w:ind w:firstLineChars="200" w:firstLine="643"/>
        <w:rPr>
          <w:rFonts w:ascii="仿宋" w:eastAsia="仿宋" w:hAnsi="仿宋"/>
          <w:sz w:val="32"/>
          <w:szCs w:val="32"/>
        </w:rPr>
      </w:pPr>
      <w:r w:rsidRPr="00A03423">
        <w:rPr>
          <w:rFonts w:ascii="仿宋" w:eastAsia="仿宋" w:hAnsi="仿宋" w:hint="eastAsia"/>
          <w:b/>
          <w:bCs/>
          <w:sz w:val="32"/>
          <w:szCs w:val="32"/>
        </w:rPr>
        <w:lastRenderedPageBreak/>
        <w:t>活跃费用：</w:t>
      </w:r>
      <w:r w:rsidR="00045FB2" w:rsidRPr="00A03423">
        <w:rPr>
          <w:rFonts w:ascii="仿宋" w:eastAsia="仿宋" w:hAnsi="仿宋" w:hint="eastAsia"/>
          <w:sz w:val="32"/>
          <w:szCs w:val="32"/>
        </w:rPr>
        <w:t>9月末</w:t>
      </w:r>
      <w:r w:rsidRPr="00A03423">
        <w:rPr>
          <w:rFonts w:ascii="仿宋" w:eastAsia="仿宋" w:hAnsi="仿宋" w:hint="eastAsia"/>
          <w:sz w:val="32"/>
          <w:szCs w:val="32"/>
        </w:rPr>
        <w:t>，丹东地区财险市场活跃费用投入总量</w:t>
      </w:r>
      <w:r w:rsidR="00A03423" w:rsidRPr="00A03423">
        <w:rPr>
          <w:rFonts w:ascii="仿宋" w:eastAsia="仿宋" w:hAnsi="仿宋" w:hint="eastAsia"/>
          <w:sz w:val="32"/>
          <w:szCs w:val="32"/>
        </w:rPr>
        <w:t>13633</w:t>
      </w:r>
      <w:r w:rsidRPr="00A03423">
        <w:rPr>
          <w:rFonts w:ascii="仿宋" w:eastAsia="仿宋" w:hAnsi="仿宋" w:hint="eastAsia"/>
          <w:sz w:val="32"/>
          <w:szCs w:val="32"/>
        </w:rPr>
        <w:t>万元（13项活跃费用指标），同比增加</w:t>
      </w:r>
      <w:r w:rsidR="00F8056E" w:rsidRPr="00A03423">
        <w:rPr>
          <w:rFonts w:ascii="仿宋" w:eastAsia="仿宋" w:hAnsi="仿宋" w:hint="eastAsia"/>
          <w:sz w:val="32"/>
          <w:szCs w:val="32"/>
        </w:rPr>
        <w:t>200</w:t>
      </w:r>
      <w:r w:rsidR="00A03423" w:rsidRPr="00A03423">
        <w:rPr>
          <w:rFonts w:ascii="仿宋" w:eastAsia="仿宋" w:hAnsi="仿宋" w:hint="eastAsia"/>
          <w:sz w:val="32"/>
          <w:szCs w:val="32"/>
        </w:rPr>
        <w:t>9</w:t>
      </w:r>
      <w:r w:rsidRPr="00A03423">
        <w:rPr>
          <w:rFonts w:ascii="仿宋" w:eastAsia="仿宋" w:hAnsi="仿宋" w:hint="eastAsia"/>
          <w:sz w:val="32"/>
          <w:szCs w:val="32"/>
        </w:rPr>
        <w:t>万。其中：</w:t>
      </w:r>
    </w:p>
    <w:p w:rsidR="00B52ADD" w:rsidRPr="00A03423" w:rsidRDefault="00890947" w:rsidP="000651B2">
      <w:pPr>
        <w:ind w:firstLineChars="200" w:firstLine="640"/>
        <w:rPr>
          <w:rFonts w:ascii="仿宋" w:eastAsia="仿宋" w:hAnsi="仿宋"/>
          <w:sz w:val="32"/>
          <w:szCs w:val="32"/>
        </w:rPr>
      </w:pPr>
      <w:r w:rsidRPr="00A03423">
        <w:rPr>
          <w:rFonts w:ascii="仿宋" w:eastAsia="仿宋" w:hAnsi="仿宋" w:hint="eastAsia"/>
          <w:sz w:val="32"/>
          <w:szCs w:val="32"/>
        </w:rPr>
        <w:t>活跃费用额增长率</w:t>
      </w:r>
      <w:r w:rsidR="007E024A" w:rsidRPr="00A03423">
        <w:rPr>
          <w:rFonts w:ascii="仿宋" w:eastAsia="仿宋" w:hAnsi="仿宋" w:hint="eastAsia"/>
          <w:sz w:val="32"/>
          <w:szCs w:val="32"/>
        </w:rPr>
        <w:t>：</w:t>
      </w:r>
      <w:r w:rsidR="00F8056E" w:rsidRPr="00A03423">
        <w:rPr>
          <w:rFonts w:ascii="仿宋" w:eastAsia="仿宋" w:hAnsi="仿宋" w:hint="eastAsia"/>
          <w:sz w:val="32"/>
          <w:szCs w:val="32"/>
        </w:rPr>
        <w:t>17.2</w:t>
      </w:r>
      <w:r w:rsidR="00A03423" w:rsidRPr="00A03423">
        <w:rPr>
          <w:rFonts w:ascii="仿宋" w:eastAsia="仿宋" w:hAnsi="仿宋" w:hint="eastAsia"/>
          <w:sz w:val="32"/>
          <w:szCs w:val="32"/>
        </w:rPr>
        <w:t>8</w:t>
      </w:r>
      <w:r w:rsidRPr="00A03423">
        <w:rPr>
          <w:rFonts w:ascii="仿宋" w:eastAsia="仿宋" w:hAnsi="仿宋" w:hint="eastAsia"/>
          <w:sz w:val="32"/>
          <w:szCs w:val="32"/>
        </w:rPr>
        <w:t>%，</w:t>
      </w:r>
      <w:r w:rsidR="00F8056E" w:rsidRPr="00A03423">
        <w:rPr>
          <w:rFonts w:ascii="仿宋" w:eastAsia="仿宋" w:hAnsi="仿宋" w:hint="eastAsia"/>
          <w:sz w:val="32"/>
          <w:szCs w:val="32"/>
        </w:rPr>
        <w:t>高</w:t>
      </w:r>
      <w:r w:rsidRPr="00A03423">
        <w:rPr>
          <w:rFonts w:ascii="仿宋" w:eastAsia="仿宋" w:hAnsi="仿宋" w:hint="eastAsia"/>
          <w:sz w:val="32"/>
          <w:szCs w:val="32"/>
        </w:rPr>
        <w:t>于保费收入增长率（</w:t>
      </w:r>
      <w:r w:rsidR="00F8056E" w:rsidRPr="00A03423">
        <w:rPr>
          <w:rFonts w:ascii="仿宋" w:eastAsia="仿宋" w:hAnsi="仿宋" w:hint="eastAsia"/>
          <w:sz w:val="32"/>
          <w:szCs w:val="32"/>
        </w:rPr>
        <w:t>11.65</w:t>
      </w:r>
      <w:r w:rsidRPr="00A03423">
        <w:rPr>
          <w:rFonts w:ascii="仿宋" w:eastAsia="仿宋" w:hAnsi="仿宋" w:hint="eastAsia"/>
          <w:sz w:val="32"/>
          <w:szCs w:val="32"/>
        </w:rPr>
        <w:t>%）</w:t>
      </w:r>
      <w:r w:rsidR="00F8056E" w:rsidRPr="00A03423">
        <w:rPr>
          <w:rFonts w:ascii="仿宋" w:eastAsia="仿宋" w:hAnsi="仿宋" w:hint="eastAsia"/>
          <w:sz w:val="32"/>
          <w:szCs w:val="32"/>
        </w:rPr>
        <w:t>5.</w:t>
      </w:r>
      <w:r w:rsidR="00A03423" w:rsidRPr="00A03423">
        <w:rPr>
          <w:rFonts w:ascii="仿宋" w:eastAsia="仿宋" w:hAnsi="仿宋" w:hint="eastAsia"/>
          <w:sz w:val="32"/>
          <w:szCs w:val="32"/>
        </w:rPr>
        <w:t>63</w:t>
      </w:r>
      <w:r w:rsidRPr="00A03423">
        <w:rPr>
          <w:rFonts w:ascii="仿宋" w:eastAsia="仿宋" w:hAnsi="仿宋" w:hint="eastAsia"/>
          <w:sz w:val="32"/>
          <w:szCs w:val="32"/>
        </w:rPr>
        <w:t>个百分点（活跃费用增长率与保费收入增长率偏离度</w:t>
      </w:r>
      <w:r w:rsidR="00F8056E" w:rsidRPr="00A03423">
        <w:rPr>
          <w:rFonts w:ascii="仿宋" w:eastAsia="仿宋" w:hAnsi="仿宋" w:hint="eastAsia"/>
          <w:sz w:val="32"/>
          <w:szCs w:val="32"/>
        </w:rPr>
        <w:t>5.</w:t>
      </w:r>
      <w:r w:rsidR="00A03423" w:rsidRPr="00A03423">
        <w:rPr>
          <w:rFonts w:ascii="仿宋" w:eastAsia="仿宋" w:hAnsi="仿宋" w:hint="eastAsia"/>
          <w:sz w:val="32"/>
          <w:szCs w:val="32"/>
        </w:rPr>
        <w:t>63</w:t>
      </w:r>
      <w:r w:rsidRPr="00A03423">
        <w:rPr>
          <w:rFonts w:ascii="仿宋" w:eastAsia="仿宋" w:hAnsi="仿宋" w:hint="eastAsia"/>
          <w:sz w:val="32"/>
          <w:szCs w:val="32"/>
        </w:rPr>
        <w:t>%）</w:t>
      </w:r>
    </w:p>
    <w:p w:rsidR="00B52ADD" w:rsidRPr="00A03423" w:rsidRDefault="00890947" w:rsidP="000651B2">
      <w:pPr>
        <w:ind w:firstLineChars="200" w:firstLine="640"/>
        <w:rPr>
          <w:rFonts w:ascii="仿宋" w:eastAsia="仿宋" w:hAnsi="仿宋"/>
          <w:sz w:val="32"/>
          <w:szCs w:val="32"/>
        </w:rPr>
      </w:pPr>
      <w:r w:rsidRPr="00A03423">
        <w:rPr>
          <w:rFonts w:ascii="仿宋" w:eastAsia="仿宋" w:hAnsi="仿宋" w:hint="eastAsia"/>
          <w:sz w:val="32"/>
          <w:szCs w:val="32"/>
        </w:rPr>
        <w:t>活跃费用率</w:t>
      </w:r>
      <w:r w:rsidR="007E024A" w:rsidRPr="00A03423">
        <w:rPr>
          <w:rFonts w:ascii="仿宋" w:eastAsia="仿宋" w:hAnsi="仿宋" w:hint="eastAsia"/>
          <w:sz w:val="32"/>
          <w:szCs w:val="32"/>
        </w:rPr>
        <w:t>：</w:t>
      </w:r>
      <w:r w:rsidR="00A03423" w:rsidRPr="00A03423">
        <w:rPr>
          <w:rFonts w:ascii="仿宋" w:eastAsia="仿宋" w:hAnsi="仿宋" w:hint="eastAsia"/>
          <w:sz w:val="32"/>
          <w:szCs w:val="32"/>
        </w:rPr>
        <w:t xml:space="preserve">12 </w:t>
      </w:r>
      <w:r w:rsidRPr="00A03423">
        <w:rPr>
          <w:rFonts w:ascii="仿宋" w:eastAsia="仿宋" w:hAnsi="仿宋" w:hint="eastAsia"/>
          <w:sz w:val="32"/>
          <w:szCs w:val="32"/>
        </w:rPr>
        <w:t>%，同比（</w:t>
      </w:r>
      <w:r w:rsidR="00F8056E" w:rsidRPr="00A03423">
        <w:rPr>
          <w:rFonts w:ascii="仿宋" w:eastAsia="仿宋" w:hAnsi="仿宋" w:hint="eastAsia"/>
          <w:sz w:val="32"/>
          <w:szCs w:val="32"/>
        </w:rPr>
        <w:t>11.4</w:t>
      </w:r>
      <w:r w:rsidR="00A03423" w:rsidRPr="00A03423">
        <w:rPr>
          <w:rFonts w:ascii="仿宋" w:eastAsia="仿宋" w:hAnsi="仿宋" w:hint="eastAsia"/>
          <w:sz w:val="32"/>
          <w:szCs w:val="32"/>
        </w:rPr>
        <w:t>3</w:t>
      </w:r>
      <w:r w:rsidRPr="00A03423">
        <w:rPr>
          <w:rFonts w:ascii="仿宋" w:eastAsia="仿宋" w:hAnsi="仿宋" w:hint="eastAsia"/>
          <w:sz w:val="32"/>
          <w:szCs w:val="32"/>
        </w:rPr>
        <w:t>%）</w:t>
      </w:r>
      <w:r w:rsidR="006925EE" w:rsidRPr="00A03423">
        <w:rPr>
          <w:rFonts w:ascii="仿宋" w:eastAsia="仿宋" w:hAnsi="仿宋" w:hint="eastAsia"/>
          <w:sz w:val="32"/>
          <w:szCs w:val="32"/>
        </w:rPr>
        <w:t>上升0.5</w:t>
      </w:r>
      <w:r w:rsidR="00A03423" w:rsidRPr="00A03423">
        <w:rPr>
          <w:rFonts w:ascii="仿宋" w:eastAsia="仿宋" w:hAnsi="仿宋" w:hint="eastAsia"/>
          <w:sz w:val="32"/>
          <w:szCs w:val="32"/>
        </w:rPr>
        <w:t>7</w:t>
      </w:r>
      <w:r w:rsidRPr="00A03423">
        <w:rPr>
          <w:rFonts w:ascii="仿宋" w:eastAsia="仿宋" w:hAnsi="仿宋" w:hint="eastAsia"/>
          <w:sz w:val="32"/>
          <w:szCs w:val="32"/>
        </w:rPr>
        <w:t>个百分点，较近三年平均水平高</w:t>
      </w:r>
      <w:r w:rsidR="00A03423" w:rsidRPr="00A03423">
        <w:rPr>
          <w:rFonts w:ascii="仿宋" w:eastAsia="仿宋" w:hAnsi="仿宋" w:hint="eastAsia"/>
          <w:sz w:val="32"/>
          <w:szCs w:val="32"/>
        </w:rPr>
        <w:t>2.01</w:t>
      </w:r>
      <w:r w:rsidRPr="00A03423">
        <w:rPr>
          <w:rFonts w:ascii="仿宋" w:eastAsia="仿宋" w:hAnsi="仿宋" w:hint="eastAsia"/>
          <w:sz w:val="32"/>
          <w:szCs w:val="32"/>
        </w:rPr>
        <w:t>个百分点（活跃费用率与近三年同期平均值偏离度</w:t>
      </w:r>
      <w:r w:rsidR="00A03423" w:rsidRPr="00A03423">
        <w:rPr>
          <w:rFonts w:ascii="仿宋" w:eastAsia="仿宋" w:hAnsi="仿宋" w:hint="eastAsia"/>
          <w:sz w:val="32"/>
          <w:szCs w:val="32"/>
        </w:rPr>
        <w:t>2.01</w:t>
      </w:r>
      <w:r w:rsidRPr="00A03423">
        <w:rPr>
          <w:rFonts w:ascii="仿宋" w:eastAsia="仿宋" w:hAnsi="仿宋" w:hint="eastAsia"/>
          <w:sz w:val="32"/>
          <w:szCs w:val="32"/>
        </w:rPr>
        <w:t xml:space="preserve">%）。    </w:t>
      </w:r>
    </w:p>
    <w:p w:rsidR="000651B2" w:rsidRPr="00D462F9" w:rsidRDefault="007E024A" w:rsidP="00890947">
      <w:pPr>
        <w:pStyle w:val="a3"/>
        <w:numPr>
          <w:ilvl w:val="0"/>
          <w:numId w:val="5"/>
        </w:numPr>
        <w:ind w:firstLineChars="0"/>
        <w:rPr>
          <w:rFonts w:ascii="仿宋" w:eastAsia="仿宋" w:hAnsi="仿宋"/>
          <w:b/>
          <w:sz w:val="32"/>
          <w:szCs w:val="32"/>
        </w:rPr>
      </w:pPr>
      <w:r w:rsidRPr="00D462F9">
        <w:rPr>
          <w:rFonts w:ascii="仿宋" w:eastAsia="仿宋" w:hAnsi="仿宋"/>
          <w:b/>
          <w:sz w:val="32"/>
          <w:szCs w:val="32"/>
        </w:rPr>
        <w:t>盈利情况通报</w:t>
      </w:r>
    </w:p>
    <w:p w:rsidR="00D462F9" w:rsidRDefault="00045FB2" w:rsidP="007E024A">
      <w:pPr>
        <w:ind w:firstLineChars="200" w:firstLine="640"/>
        <w:rPr>
          <w:rFonts w:ascii="仿宋" w:eastAsia="仿宋" w:hAnsi="仿宋"/>
          <w:sz w:val="32"/>
          <w:szCs w:val="32"/>
        </w:rPr>
      </w:pPr>
      <w:r w:rsidRPr="00D462F9">
        <w:rPr>
          <w:rFonts w:ascii="仿宋" w:eastAsia="仿宋" w:hAnsi="仿宋" w:hint="eastAsia"/>
          <w:sz w:val="32"/>
          <w:szCs w:val="32"/>
        </w:rPr>
        <w:t>9月末</w:t>
      </w:r>
      <w:r w:rsidR="007E024A" w:rsidRPr="00D462F9">
        <w:rPr>
          <w:rFonts w:ascii="仿宋" w:eastAsia="仿宋" w:hAnsi="仿宋" w:hint="eastAsia"/>
          <w:sz w:val="32"/>
          <w:szCs w:val="32"/>
        </w:rPr>
        <w:t>，丹东地区财险市场综合成本率</w:t>
      </w:r>
      <w:r w:rsidR="00D462F9">
        <w:rPr>
          <w:rFonts w:ascii="仿宋" w:eastAsia="仿宋" w:hAnsi="仿宋" w:hint="eastAsia"/>
          <w:sz w:val="32"/>
          <w:szCs w:val="32"/>
        </w:rPr>
        <w:t>94.93</w:t>
      </w:r>
      <w:r w:rsidR="007E024A" w:rsidRPr="00D462F9">
        <w:rPr>
          <w:rFonts w:ascii="仿宋" w:eastAsia="仿宋" w:hAnsi="仿宋" w:hint="eastAsia"/>
          <w:sz w:val="32"/>
          <w:szCs w:val="32"/>
        </w:rPr>
        <w:t>%，同比上升</w:t>
      </w:r>
      <w:r w:rsidR="00D462F9">
        <w:rPr>
          <w:rFonts w:ascii="仿宋" w:eastAsia="仿宋" w:hAnsi="仿宋" w:hint="eastAsia"/>
          <w:sz w:val="32"/>
          <w:szCs w:val="32"/>
        </w:rPr>
        <w:t>3.84</w:t>
      </w:r>
      <w:r w:rsidR="007E024A" w:rsidRPr="00D462F9">
        <w:rPr>
          <w:rFonts w:ascii="仿宋" w:eastAsia="仿宋" w:hAnsi="仿宋" w:hint="eastAsia"/>
          <w:sz w:val="32"/>
          <w:szCs w:val="32"/>
        </w:rPr>
        <w:t>个百分点，其中：赔付率</w:t>
      </w:r>
      <w:r w:rsidR="00D462F9">
        <w:rPr>
          <w:rFonts w:ascii="仿宋" w:eastAsia="仿宋" w:hAnsi="仿宋" w:hint="eastAsia"/>
          <w:sz w:val="32"/>
          <w:szCs w:val="32"/>
        </w:rPr>
        <w:t>56.94%，</w:t>
      </w:r>
      <w:r w:rsidR="007E024A" w:rsidRPr="00D462F9">
        <w:rPr>
          <w:rFonts w:ascii="仿宋" w:eastAsia="仿宋" w:hAnsi="仿宋" w:hint="eastAsia"/>
          <w:sz w:val="32"/>
          <w:szCs w:val="32"/>
        </w:rPr>
        <w:t>同比</w:t>
      </w:r>
      <w:r w:rsidR="00D462F9">
        <w:rPr>
          <w:rFonts w:ascii="仿宋" w:eastAsia="仿宋" w:hAnsi="仿宋" w:hint="eastAsia"/>
          <w:sz w:val="32"/>
          <w:szCs w:val="32"/>
        </w:rPr>
        <w:t>上升1.02个百分点；</w:t>
      </w:r>
      <w:r w:rsidR="007E024A" w:rsidRPr="00D462F9">
        <w:rPr>
          <w:rFonts w:ascii="仿宋" w:eastAsia="仿宋" w:hAnsi="仿宋" w:hint="eastAsia"/>
          <w:sz w:val="32"/>
          <w:szCs w:val="32"/>
        </w:rPr>
        <w:t>费用率</w:t>
      </w:r>
      <w:r w:rsidR="00D462F9">
        <w:rPr>
          <w:rFonts w:ascii="仿宋" w:eastAsia="仿宋" w:hAnsi="仿宋" w:hint="eastAsia"/>
          <w:sz w:val="32"/>
          <w:szCs w:val="32"/>
        </w:rPr>
        <w:t>38%，</w:t>
      </w:r>
      <w:r w:rsidR="007E024A" w:rsidRPr="00D462F9">
        <w:rPr>
          <w:rFonts w:ascii="仿宋" w:eastAsia="仿宋" w:hAnsi="仿宋" w:hint="eastAsia"/>
          <w:sz w:val="32"/>
          <w:szCs w:val="32"/>
        </w:rPr>
        <w:t>同比上升</w:t>
      </w:r>
      <w:r w:rsidR="00D462F9">
        <w:rPr>
          <w:rFonts w:ascii="仿宋" w:eastAsia="仿宋" w:hAnsi="仿宋" w:hint="eastAsia"/>
          <w:sz w:val="32"/>
          <w:szCs w:val="32"/>
        </w:rPr>
        <w:t>2.82个百分点</w:t>
      </w:r>
      <w:r w:rsidR="007E024A" w:rsidRPr="00D462F9">
        <w:rPr>
          <w:rFonts w:ascii="仿宋" w:eastAsia="仿宋" w:hAnsi="仿宋" w:hint="eastAsia"/>
          <w:sz w:val="32"/>
          <w:szCs w:val="32"/>
        </w:rPr>
        <w:t>。</w:t>
      </w:r>
    </w:p>
    <w:p w:rsidR="007E024A" w:rsidRPr="007E024A" w:rsidRDefault="00D462F9" w:rsidP="007E024A">
      <w:pPr>
        <w:ind w:firstLineChars="200" w:firstLine="640"/>
        <w:rPr>
          <w:rFonts w:ascii="仿宋" w:eastAsia="仿宋" w:hAnsi="仿宋"/>
          <w:sz w:val="32"/>
          <w:szCs w:val="32"/>
        </w:rPr>
      </w:pPr>
      <w:r>
        <w:rPr>
          <w:rFonts w:ascii="仿宋" w:eastAsia="仿宋" w:hAnsi="仿宋" w:hint="eastAsia"/>
          <w:sz w:val="32"/>
          <w:szCs w:val="32"/>
        </w:rPr>
        <w:t>9</w:t>
      </w:r>
      <w:r w:rsidR="007E024A" w:rsidRPr="00D462F9">
        <w:rPr>
          <w:rFonts w:ascii="仿宋" w:eastAsia="仿宋" w:hAnsi="仿宋" w:hint="eastAsia"/>
          <w:sz w:val="32"/>
          <w:szCs w:val="32"/>
        </w:rPr>
        <w:t>月末，丹东地区综合成本率</w:t>
      </w:r>
      <w:proofErr w:type="gramStart"/>
      <w:r w:rsidR="007E024A" w:rsidRPr="00D462F9">
        <w:rPr>
          <w:rFonts w:ascii="仿宋" w:eastAsia="仿宋" w:hAnsi="仿宋" w:hint="eastAsia"/>
          <w:sz w:val="32"/>
          <w:szCs w:val="32"/>
        </w:rPr>
        <w:t>优于省</w:t>
      </w:r>
      <w:proofErr w:type="gramEnd"/>
      <w:r w:rsidR="007E024A" w:rsidRPr="00D462F9">
        <w:rPr>
          <w:rFonts w:ascii="仿宋" w:eastAsia="仿宋" w:hAnsi="仿宋" w:hint="eastAsia"/>
          <w:sz w:val="32"/>
          <w:szCs w:val="32"/>
        </w:rPr>
        <w:t>均（</w:t>
      </w:r>
      <w:r>
        <w:rPr>
          <w:rFonts w:ascii="仿宋" w:eastAsia="仿宋" w:hAnsi="仿宋" w:hint="eastAsia"/>
          <w:sz w:val="32"/>
          <w:szCs w:val="32"/>
        </w:rPr>
        <w:t>101.98</w:t>
      </w:r>
      <w:r w:rsidR="007E024A" w:rsidRPr="00D462F9">
        <w:rPr>
          <w:rFonts w:ascii="仿宋" w:eastAsia="仿宋" w:hAnsi="仿宋" w:hint="eastAsia"/>
          <w:sz w:val="32"/>
          <w:szCs w:val="32"/>
        </w:rPr>
        <w:t>%）</w:t>
      </w:r>
      <w:r>
        <w:rPr>
          <w:rFonts w:ascii="仿宋" w:eastAsia="仿宋" w:hAnsi="仿宋" w:hint="eastAsia"/>
          <w:sz w:val="32"/>
          <w:szCs w:val="32"/>
        </w:rPr>
        <w:t>7.04</w:t>
      </w:r>
      <w:r w:rsidR="007E024A" w:rsidRPr="00D462F9">
        <w:rPr>
          <w:rFonts w:ascii="仿宋" w:eastAsia="仿宋" w:hAnsi="仿宋" w:hint="eastAsia"/>
          <w:sz w:val="32"/>
          <w:szCs w:val="32"/>
        </w:rPr>
        <w:t>个百分点。</w:t>
      </w:r>
    </w:p>
    <w:p w:rsidR="007E024A" w:rsidRPr="007E024A" w:rsidRDefault="007E024A" w:rsidP="00890947">
      <w:pPr>
        <w:pStyle w:val="a3"/>
        <w:numPr>
          <w:ilvl w:val="0"/>
          <w:numId w:val="6"/>
        </w:numPr>
        <w:ind w:firstLineChars="0"/>
        <w:rPr>
          <w:rFonts w:ascii="仿宋" w:eastAsia="仿宋" w:hAnsi="仿宋"/>
          <w:b/>
          <w:bCs/>
          <w:sz w:val="32"/>
          <w:szCs w:val="32"/>
        </w:rPr>
      </w:pPr>
      <w:r w:rsidRPr="007E024A">
        <w:rPr>
          <w:rFonts w:ascii="仿宋" w:eastAsia="仿宋" w:hAnsi="仿宋" w:hint="eastAsia"/>
          <w:b/>
          <w:bCs/>
          <w:sz w:val="32"/>
          <w:szCs w:val="32"/>
        </w:rPr>
        <w:t>主体盈利情况</w:t>
      </w:r>
    </w:p>
    <w:p w:rsidR="007E024A" w:rsidRPr="007E024A" w:rsidRDefault="00045FB2" w:rsidP="007E024A">
      <w:pPr>
        <w:ind w:firstLineChars="200" w:firstLine="640"/>
        <w:rPr>
          <w:rFonts w:ascii="仿宋" w:eastAsia="仿宋" w:hAnsi="仿宋"/>
          <w:sz w:val="32"/>
          <w:szCs w:val="32"/>
        </w:rPr>
      </w:pPr>
      <w:r>
        <w:rPr>
          <w:rFonts w:ascii="仿宋" w:eastAsia="仿宋" w:hAnsi="仿宋" w:hint="eastAsia"/>
          <w:sz w:val="32"/>
          <w:szCs w:val="32"/>
        </w:rPr>
        <w:t>9月末</w:t>
      </w:r>
      <w:r w:rsidR="007E024A" w:rsidRPr="007E024A">
        <w:rPr>
          <w:rFonts w:ascii="仿宋" w:eastAsia="仿宋" w:hAnsi="仿宋" w:hint="eastAsia"/>
          <w:sz w:val="32"/>
          <w:szCs w:val="32"/>
        </w:rPr>
        <w:t>，全市20家财</w:t>
      </w:r>
      <w:proofErr w:type="gramStart"/>
      <w:r w:rsidR="007E024A" w:rsidRPr="007E024A">
        <w:rPr>
          <w:rFonts w:ascii="仿宋" w:eastAsia="仿宋" w:hAnsi="仿宋" w:hint="eastAsia"/>
          <w:sz w:val="32"/>
          <w:szCs w:val="32"/>
        </w:rPr>
        <w:t>险机构</w:t>
      </w:r>
      <w:proofErr w:type="gramEnd"/>
      <w:r w:rsidR="007E024A" w:rsidRPr="007E024A">
        <w:rPr>
          <w:rFonts w:ascii="仿宋" w:eastAsia="仿宋" w:hAnsi="仿宋" w:hint="eastAsia"/>
          <w:sz w:val="32"/>
          <w:szCs w:val="32"/>
        </w:rPr>
        <w:t>中，人保、</w:t>
      </w:r>
      <w:r w:rsidR="00A51C13" w:rsidRPr="007E024A">
        <w:rPr>
          <w:rFonts w:ascii="仿宋" w:eastAsia="仿宋" w:hAnsi="仿宋" w:hint="eastAsia"/>
          <w:sz w:val="32"/>
          <w:szCs w:val="32"/>
        </w:rPr>
        <w:t>太平洋、</w:t>
      </w:r>
      <w:r w:rsidR="007E024A" w:rsidRPr="007E024A">
        <w:rPr>
          <w:rFonts w:ascii="仿宋" w:eastAsia="仿宋" w:hAnsi="仿宋" w:hint="eastAsia"/>
          <w:sz w:val="32"/>
          <w:szCs w:val="32"/>
        </w:rPr>
        <w:t>平安、国寿财、</w:t>
      </w:r>
      <w:r w:rsidR="00A51C13">
        <w:rPr>
          <w:rFonts w:ascii="仿宋" w:eastAsia="仿宋" w:hAnsi="仿宋" w:hint="eastAsia"/>
          <w:sz w:val="32"/>
          <w:szCs w:val="32"/>
        </w:rPr>
        <w:t>阳光、太平、安华、天安、永城、渤海等10</w:t>
      </w:r>
      <w:r w:rsidR="007E024A" w:rsidRPr="007E024A">
        <w:rPr>
          <w:rFonts w:ascii="仿宋" w:eastAsia="仿宋" w:hAnsi="仿宋" w:hint="eastAsia"/>
          <w:sz w:val="32"/>
          <w:szCs w:val="32"/>
        </w:rPr>
        <w:t>家机构实现承保盈利。其中：人保、太平洋、国寿财、</w:t>
      </w:r>
      <w:r w:rsidR="00A51C13">
        <w:rPr>
          <w:rFonts w:ascii="仿宋" w:eastAsia="仿宋" w:hAnsi="仿宋" w:hint="eastAsia"/>
          <w:sz w:val="32"/>
          <w:szCs w:val="32"/>
        </w:rPr>
        <w:t>阳光、太平、安华、天安、永城、渤海</w:t>
      </w:r>
      <w:r w:rsidR="007E024A" w:rsidRPr="007E024A">
        <w:rPr>
          <w:rFonts w:ascii="仿宋" w:eastAsia="仿宋" w:hAnsi="仿宋" w:hint="eastAsia"/>
          <w:sz w:val="32"/>
          <w:szCs w:val="32"/>
        </w:rPr>
        <w:t>9家机构综合成本率优于行业。人保、太平洋</w:t>
      </w:r>
      <w:r w:rsidR="00A51C13">
        <w:rPr>
          <w:rFonts w:ascii="仿宋" w:eastAsia="仿宋" w:hAnsi="仿宋" w:hint="eastAsia"/>
          <w:sz w:val="32"/>
          <w:szCs w:val="32"/>
        </w:rPr>
        <w:t>、</w:t>
      </w:r>
      <w:r w:rsidR="00A51C13" w:rsidRPr="007E024A">
        <w:rPr>
          <w:rFonts w:ascii="仿宋" w:eastAsia="仿宋" w:hAnsi="仿宋" w:hint="eastAsia"/>
          <w:sz w:val="32"/>
          <w:szCs w:val="32"/>
        </w:rPr>
        <w:t>平安</w:t>
      </w:r>
      <w:r w:rsidR="007E024A" w:rsidRPr="007E024A">
        <w:rPr>
          <w:rFonts w:ascii="仿宋" w:eastAsia="仿宋" w:hAnsi="仿宋" w:hint="eastAsia"/>
          <w:sz w:val="32"/>
          <w:szCs w:val="32"/>
        </w:rPr>
        <w:t>利润贡献度全市排名前三位，中华、大地、</w:t>
      </w:r>
      <w:r w:rsidR="00A51C13">
        <w:rPr>
          <w:rFonts w:ascii="仿宋" w:eastAsia="仿宋" w:hAnsi="仿宋" w:hint="eastAsia"/>
          <w:sz w:val="32"/>
          <w:szCs w:val="32"/>
        </w:rPr>
        <w:t>永安、华安、大家、浙商、富邦、英大、中航安盟、亚</w:t>
      </w:r>
      <w:r w:rsidR="00A51C13">
        <w:rPr>
          <w:rFonts w:ascii="仿宋" w:eastAsia="仿宋" w:hAnsi="仿宋" w:hint="eastAsia"/>
          <w:sz w:val="32"/>
          <w:szCs w:val="32"/>
        </w:rPr>
        <w:lastRenderedPageBreak/>
        <w:t>太</w:t>
      </w:r>
      <w:r w:rsidR="007E024A" w:rsidRPr="007E024A">
        <w:rPr>
          <w:rFonts w:ascii="仿宋" w:eastAsia="仿宋" w:hAnsi="仿宋" w:hint="eastAsia"/>
          <w:sz w:val="32"/>
          <w:szCs w:val="32"/>
        </w:rPr>
        <w:t>等</w:t>
      </w:r>
      <w:r w:rsidR="00A51C13">
        <w:rPr>
          <w:rFonts w:ascii="仿宋" w:eastAsia="仿宋" w:hAnsi="仿宋" w:hint="eastAsia"/>
          <w:sz w:val="32"/>
          <w:szCs w:val="32"/>
        </w:rPr>
        <w:t>10</w:t>
      </w:r>
      <w:r w:rsidR="007E024A" w:rsidRPr="007E024A">
        <w:rPr>
          <w:rFonts w:ascii="仿宋" w:eastAsia="仿宋" w:hAnsi="仿宋" w:hint="eastAsia"/>
          <w:sz w:val="32"/>
          <w:szCs w:val="32"/>
        </w:rPr>
        <w:t>家机构综合成本率超百。</w:t>
      </w:r>
    </w:p>
    <w:p w:rsidR="007E024A" w:rsidRDefault="00A51C13" w:rsidP="007E024A">
      <w:pPr>
        <w:rPr>
          <w:rFonts w:ascii="仿宋" w:eastAsia="仿宋" w:hAnsi="仿宋"/>
          <w:sz w:val="32"/>
          <w:szCs w:val="32"/>
        </w:rPr>
      </w:pPr>
      <w:r>
        <w:rPr>
          <w:noProof/>
        </w:rPr>
        <w:drawing>
          <wp:inline distT="0" distB="0" distL="0" distR="0" wp14:anchorId="6600CC9F" wp14:editId="2C3D6133">
            <wp:extent cx="5274310" cy="2667678"/>
            <wp:effectExtent l="0" t="0" r="21590" b="18415"/>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7E024A" w:rsidRDefault="007E024A" w:rsidP="007E024A">
      <w:pPr>
        <w:ind w:firstLineChars="200" w:firstLine="643"/>
        <w:rPr>
          <w:rFonts w:ascii="仿宋" w:eastAsia="仿宋" w:hAnsi="仿宋"/>
          <w:b/>
          <w:bCs/>
          <w:sz w:val="32"/>
          <w:szCs w:val="32"/>
        </w:rPr>
      </w:pPr>
      <w:r>
        <w:rPr>
          <w:rFonts w:ascii="仿宋" w:eastAsia="仿宋" w:hAnsi="仿宋" w:hint="eastAsia"/>
          <w:b/>
          <w:bCs/>
          <w:sz w:val="32"/>
          <w:szCs w:val="32"/>
        </w:rPr>
        <w:t>（二）</w:t>
      </w:r>
      <w:r w:rsidR="00890947" w:rsidRPr="007E024A">
        <w:rPr>
          <w:rFonts w:ascii="仿宋" w:eastAsia="仿宋" w:hAnsi="仿宋" w:hint="eastAsia"/>
          <w:b/>
          <w:bCs/>
          <w:sz w:val="32"/>
          <w:szCs w:val="32"/>
        </w:rPr>
        <w:t>车险盈利情况</w:t>
      </w:r>
    </w:p>
    <w:p w:rsidR="00B52ADD" w:rsidRDefault="00045FB2" w:rsidP="007E024A">
      <w:pPr>
        <w:ind w:firstLineChars="200" w:firstLine="640"/>
        <w:rPr>
          <w:rFonts w:ascii="仿宋" w:eastAsia="仿宋" w:hAnsi="仿宋"/>
          <w:sz w:val="32"/>
          <w:szCs w:val="32"/>
        </w:rPr>
      </w:pPr>
      <w:r>
        <w:rPr>
          <w:rFonts w:ascii="仿宋" w:eastAsia="仿宋" w:hAnsi="仿宋" w:hint="eastAsia"/>
          <w:sz w:val="32"/>
          <w:szCs w:val="32"/>
        </w:rPr>
        <w:t>9月末</w:t>
      </w:r>
      <w:r w:rsidR="00890947" w:rsidRPr="007E024A">
        <w:rPr>
          <w:rFonts w:ascii="仿宋" w:eastAsia="仿宋" w:hAnsi="仿宋" w:hint="eastAsia"/>
          <w:sz w:val="32"/>
          <w:szCs w:val="32"/>
        </w:rPr>
        <w:t>，丹东地区车险市场综合成本率</w:t>
      </w:r>
      <w:r w:rsidR="00A51C13">
        <w:rPr>
          <w:rFonts w:ascii="仿宋" w:eastAsia="仿宋" w:hAnsi="仿宋" w:hint="eastAsia"/>
          <w:sz w:val="32"/>
          <w:szCs w:val="32"/>
        </w:rPr>
        <w:t>96.31</w:t>
      </w:r>
      <w:r w:rsidR="00890947" w:rsidRPr="007E024A">
        <w:rPr>
          <w:rFonts w:ascii="仿宋" w:eastAsia="仿宋" w:hAnsi="仿宋" w:hint="eastAsia"/>
          <w:sz w:val="32"/>
          <w:szCs w:val="32"/>
        </w:rPr>
        <w:t>%，同比上升</w:t>
      </w:r>
      <w:r w:rsidR="00A51C13">
        <w:rPr>
          <w:rFonts w:ascii="仿宋" w:eastAsia="仿宋" w:hAnsi="仿宋" w:hint="eastAsia"/>
          <w:sz w:val="32"/>
          <w:szCs w:val="32"/>
        </w:rPr>
        <w:t>2.34</w:t>
      </w:r>
      <w:r w:rsidR="00890947" w:rsidRPr="007E024A">
        <w:rPr>
          <w:rFonts w:ascii="仿宋" w:eastAsia="仿宋" w:hAnsi="仿宋" w:hint="eastAsia"/>
          <w:sz w:val="32"/>
          <w:szCs w:val="32"/>
        </w:rPr>
        <w:t>个百分点，</w:t>
      </w:r>
      <w:proofErr w:type="gramStart"/>
      <w:r w:rsidR="00890947" w:rsidRPr="007E024A">
        <w:rPr>
          <w:rFonts w:ascii="仿宋" w:eastAsia="仿宋" w:hAnsi="仿宋" w:hint="eastAsia"/>
          <w:sz w:val="32"/>
          <w:szCs w:val="32"/>
        </w:rPr>
        <w:t>优于省</w:t>
      </w:r>
      <w:proofErr w:type="gramEnd"/>
      <w:r w:rsidR="00890947" w:rsidRPr="007E024A">
        <w:rPr>
          <w:rFonts w:ascii="仿宋" w:eastAsia="仿宋" w:hAnsi="仿宋" w:hint="eastAsia"/>
          <w:sz w:val="32"/>
          <w:szCs w:val="32"/>
        </w:rPr>
        <w:t>均</w:t>
      </w:r>
      <w:r w:rsidR="00E67B12">
        <w:rPr>
          <w:rFonts w:ascii="仿宋" w:eastAsia="仿宋" w:hAnsi="仿宋" w:hint="eastAsia"/>
          <w:sz w:val="32"/>
          <w:szCs w:val="32"/>
        </w:rPr>
        <w:t>2.47</w:t>
      </w:r>
      <w:r w:rsidR="00890947" w:rsidRPr="007E024A">
        <w:rPr>
          <w:rFonts w:ascii="仿宋" w:eastAsia="仿宋" w:hAnsi="仿宋" w:hint="eastAsia"/>
          <w:sz w:val="32"/>
          <w:szCs w:val="32"/>
        </w:rPr>
        <w:t>个百分点。其中：赔付率51.</w:t>
      </w:r>
      <w:r w:rsidR="00E67B12">
        <w:rPr>
          <w:rFonts w:ascii="仿宋" w:eastAsia="仿宋" w:hAnsi="仿宋" w:hint="eastAsia"/>
          <w:sz w:val="32"/>
          <w:szCs w:val="32"/>
        </w:rPr>
        <w:t>89</w:t>
      </w:r>
      <w:r w:rsidR="00890947" w:rsidRPr="007E024A">
        <w:rPr>
          <w:rFonts w:ascii="仿宋" w:eastAsia="仿宋" w:hAnsi="仿宋" w:hint="eastAsia"/>
          <w:sz w:val="32"/>
          <w:szCs w:val="32"/>
        </w:rPr>
        <w:t>%，同比下降5.</w:t>
      </w:r>
      <w:r w:rsidR="00E67B12">
        <w:rPr>
          <w:rFonts w:ascii="仿宋" w:eastAsia="仿宋" w:hAnsi="仿宋" w:hint="eastAsia"/>
          <w:sz w:val="32"/>
          <w:szCs w:val="32"/>
        </w:rPr>
        <w:t>71</w:t>
      </w:r>
      <w:r w:rsidR="00890947" w:rsidRPr="007E024A">
        <w:rPr>
          <w:rFonts w:ascii="仿宋" w:eastAsia="仿宋" w:hAnsi="仿宋" w:hint="eastAsia"/>
          <w:sz w:val="32"/>
          <w:szCs w:val="32"/>
        </w:rPr>
        <w:t>个</w:t>
      </w:r>
      <w:r w:rsidR="00E67B12">
        <w:rPr>
          <w:rFonts w:ascii="仿宋" w:eastAsia="仿宋" w:hAnsi="仿宋" w:hint="eastAsia"/>
          <w:sz w:val="32"/>
          <w:szCs w:val="32"/>
        </w:rPr>
        <w:t>百分点</w:t>
      </w:r>
      <w:r w:rsidR="00890947" w:rsidRPr="007E024A">
        <w:rPr>
          <w:rFonts w:ascii="仿宋" w:eastAsia="仿宋" w:hAnsi="仿宋" w:hint="eastAsia"/>
          <w:sz w:val="32"/>
          <w:szCs w:val="32"/>
        </w:rPr>
        <w:t>；费用率</w:t>
      </w:r>
      <w:r w:rsidR="00E67B12">
        <w:rPr>
          <w:rFonts w:ascii="仿宋" w:eastAsia="仿宋" w:hAnsi="仿宋" w:hint="eastAsia"/>
          <w:sz w:val="32"/>
          <w:szCs w:val="32"/>
        </w:rPr>
        <w:t>44.5</w:t>
      </w:r>
      <w:r w:rsidR="00890947" w:rsidRPr="007E024A">
        <w:rPr>
          <w:rFonts w:ascii="仿宋" w:eastAsia="仿宋" w:hAnsi="仿宋" w:hint="eastAsia"/>
          <w:sz w:val="32"/>
          <w:szCs w:val="32"/>
        </w:rPr>
        <w:t>%，同比上升</w:t>
      </w:r>
      <w:r w:rsidR="00E67B12">
        <w:rPr>
          <w:rFonts w:ascii="仿宋" w:eastAsia="仿宋" w:hAnsi="仿宋" w:hint="eastAsia"/>
          <w:sz w:val="32"/>
          <w:szCs w:val="32"/>
        </w:rPr>
        <w:t>8.04</w:t>
      </w:r>
      <w:r w:rsidR="00890947" w:rsidRPr="007E024A">
        <w:rPr>
          <w:rFonts w:ascii="仿宋" w:eastAsia="仿宋" w:hAnsi="仿宋" w:hint="eastAsia"/>
          <w:sz w:val="32"/>
          <w:szCs w:val="32"/>
        </w:rPr>
        <w:t>个</w:t>
      </w:r>
      <w:r w:rsidR="00E67B12">
        <w:rPr>
          <w:rFonts w:ascii="仿宋" w:eastAsia="仿宋" w:hAnsi="仿宋" w:hint="eastAsia"/>
          <w:sz w:val="32"/>
          <w:szCs w:val="32"/>
        </w:rPr>
        <w:t>百分点</w:t>
      </w:r>
      <w:r w:rsidR="00890947" w:rsidRPr="007E024A">
        <w:rPr>
          <w:rFonts w:ascii="仿宋" w:eastAsia="仿宋" w:hAnsi="仿宋" w:hint="eastAsia"/>
          <w:sz w:val="32"/>
          <w:szCs w:val="32"/>
        </w:rPr>
        <w:t>。</w:t>
      </w:r>
      <w:r w:rsidR="00E67B12">
        <w:rPr>
          <w:rFonts w:ascii="仿宋" w:eastAsia="仿宋" w:hAnsi="仿宋" w:hint="eastAsia"/>
          <w:sz w:val="32"/>
          <w:szCs w:val="32"/>
        </w:rPr>
        <w:t>其中：</w:t>
      </w:r>
    </w:p>
    <w:p w:rsidR="00E67B12" w:rsidRDefault="00890947" w:rsidP="00E67B12">
      <w:pPr>
        <w:ind w:firstLineChars="200" w:firstLine="643"/>
        <w:rPr>
          <w:rFonts w:ascii="仿宋" w:eastAsia="仿宋" w:hAnsi="仿宋"/>
          <w:sz w:val="32"/>
          <w:szCs w:val="32"/>
        </w:rPr>
      </w:pPr>
      <w:r w:rsidRPr="00E67B12">
        <w:rPr>
          <w:rFonts w:ascii="仿宋" w:eastAsia="仿宋" w:hAnsi="仿宋" w:hint="eastAsia"/>
          <w:b/>
          <w:sz w:val="32"/>
          <w:szCs w:val="32"/>
        </w:rPr>
        <w:t>商业车险</w:t>
      </w:r>
      <w:r w:rsidR="00E67B12" w:rsidRPr="00E67B12">
        <w:rPr>
          <w:rFonts w:ascii="仿宋" w:eastAsia="仿宋" w:hAnsi="仿宋" w:hint="eastAsia"/>
          <w:b/>
          <w:sz w:val="32"/>
          <w:szCs w:val="32"/>
        </w:rPr>
        <w:t>：</w:t>
      </w:r>
      <w:r w:rsidR="00E67B12">
        <w:rPr>
          <w:rFonts w:ascii="仿宋" w:eastAsia="仿宋" w:hAnsi="仿宋" w:hint="eastAsia"/>
          <w:sz w:val="32"/>
          <w:szCs w:val="32"/>
        </w:rPr>
        <w:t>赔付率50.91%，费用率52.91%，</w:t>
      </w:r>
      <w:r w:rsidR="00E67B12" w:rsidRPr="007E024A">
        <w:rPr>
          <w:rFonts w:ascii="仿宋" w:eastAsia="仿宋" w:hAnsi="仿宋" w:hint="eastAsia"/>
          <w:sz w:val="32"/>
          <w:szCs w:val="32"/>
        </w:rPr>
        <w:t>综合成本率</w:t>
      </w:r>
      <w:r w:rsidR="00E67B12">
        <w:rPr>
          <w:rFonts w:ascii="仿宋" w:eastAsia="仿宋" w:hAnsi="仿宋" w:hint="eastAsia"/>
          <w:sz w:val="32"/>
          <w:szCs w:val="32"/>
        </w:rPr>
        <w:t>103.82</w:t>
      </w:r>
      <w:r w:rsidR="00E67B12" w:rsidRPr="007E024A">
        <w:rPr>
          <w:rFonts w:ascii="仿宋" w:eastAsia="仿宋" w:hAnsi="仿宋" w:hint="eastAsia"/>
          <w:sz w:val="32"/>
          <w:szCs w:val="32"/>
        </w:rPr>
        <w:t>%</w:t>
      </w:r>
      <w:r w:rsidR="00E67B12">
        <w:rPr>
          <w:rFonts w:ascii="仿宋" w:eastAsia="仿宋" w:hAnsi="仿宋" w:hint="eastAsia"/>
          <w:sz w:val="32"/>
          <w:szCs w:val="32"/>
        </w:rPr>
        <w:t>。</w:t>
      </w:r>
    </w:p>
    <w:p w:rsidR="00B52ADD" w:rsidRDefault="00890947" w:rsidP="00E67B12">
      <w:pPr>
        <w:ind w:firstLineChars="200" w:firstLine="640"/>
        <w:rPr>
          <w:rFonts w:ascii="仿宋" w:eastAsia="仿宋" w:hAnsi="仿宋"/>
          <w:sz w:val="32"/>
          <w:szCs w:val="32"/>
        </w:rPr>
      </w:pPr>
      <w:proofErr w:type="gramStart"/>
      <w:r w:rsidRPr="007E024A">
        <w:rPr>
          <w:rFonts w:ascii="仿宋" w:eastAsia="仿宋" w:hAnsi="仿宋" w:hint="eastAsia"/>
          <w:sz w:val="32"/>
          <w:szCs w:val="32"/>
        </w:rPr>
        <w:t>交强险</w:t>
      </w:r>
      <w:proofErr w:type="gramEnd"/>
      <w:r w:rsidR="00E67B12">
        <w:rPr>
          <w:rFonts w:ascii="仿宋" w:eastAsia="仿宋" w:hAnsi="仿宋" w:hint="eastAsia"/>
          <w:sz w:val="32"/>
          <w:szCs w:val="32"/>
        </w:rPr>
        <w:t>：赔付率61.52%，费用率24.4%，</w:t>
      </w:r>
      <w:r w:rsidRPr="007E024A">
        <w:rPr>
          <w:rFonts w:ascii="仿宋" w:eastAsia="仿宋" w:hAnsi="仿宋" w:hint="eastAsia"/>
          <w:sz w:val="32"/>
          <w:szCs w:val="32"/>
        </w:rPr>
        <w:t>综合成本率</w:t>
      </w:r>
      <w:r w:rsidR="00E67B12">
        <w:rPr>
          <w:rFonts w:ascii="仿宋" w:eastAsia="仿宋" w:hAnsi="仿宋" w:hint="eastAsia"/>
          <w:sz w:val="32"/>
          <w:szCs w:val="32"/>
        </w:rPr>
        <w:t>85.91</w:t>
      </w:r>
      <w:r w:rsidRPr="007E024A">
        <w:rPr>
          <w:rFonts w:ascii="仿宋" w:eastAsia="仿宋" w:hAnsi="仿宋" w:hint="eastAsia"/>
          <w:sz w:val="32"/>
          <w:szCs w:val="32"/>
        </w:rPr>
        <w:t>%。</w:t>
      </w:r>
    </w:p>
    <w:p w:rsidR="00E67B12" w:rsidRPr="00E67B12" w:rsidRDefault="00E67B12" w:rsidP="007E024A">
      <w:pPr>
        <w:ind w:firstLineChars="200" w:firstLine="640"/>
        <w:rPr>
          <w:rFonts w:ascii="仿宋" w:eastAsia="仿宋" w:hAnsi="仿宋"/>
          <w:sz w:val="32"/>
          <w:szCs w:val="32"/>
        </w:rPr>
      </w:pPr>
      <w:r>
        <w:rPr>
          <w:rFonts w:ascii="仿宋" w:eastAsia="仿宋" w:hAnsi="仿宋" w:hint="eastAsia"/>
          <w:sz w:val="32"/>
          <w:szCs w:val="32"/>
        </w:rPr>
        <w:t>1-9月，车险综合成本率高的主要原因是费改前车险市场无序竞争致使商业车险车费用率大幅上升影响。</w:t>
      </w:r>
    </w:p>
    <w:p w:rsidR="007E024A" w:rsidRPr="007E024A" w:rsidRDefault="007E024A" w:rsidP="007E024A">
      <w:pPr>
        <w:ind w:firstLineChars="200" w:firstLine="640"/>
        <w:rPr>
          <w:rFonts w:ascii="仿宋" w:eastAsia="仿宋" w:hAnsi="仿宋"/>
          <w:sz w:val="32"/>
          <w:szCs w:val="32"/>
        </w:rPr>
      </w:pPr>
      <w:r w:rsidRPr="007E024A">
        <w:rPr>
          <w:rFonts w:ascii="仿宋" w:eastAsia="仿宋" w:hAnsi="仿宋" w:hint="eastAsia"/>
          <w:sz w:val="32"/>
          <w:szCs w:val="32"/>
        </w:rPr>
        <w:t>20家财</w:t>
      </w:r>
      <w:proofErr w:type="gramStart"/>
      <w:r w:rsidRPr="007E024A">
        <w:rPr>
          <w:rFonts w:ascii="仿宋" w:eastAsia="仿宋" w:hAnsi="仿宋" w:hint="eastAsia"/>
          <w:sz w:val="32"/>
          <w:szCs w:val="32"/>
        </w:rPr>
        <w:t>险主体</w:t>
      </w:r>
      <w:proofErr w:type="gramEnd"/>
      <w:r w:rsidRPr="007E024A">
        <w:rPr>
          <w:rFonts w:ascii="仿宋" w:eastAsia="仿宋" w:hAnsi="仿宋" w:hint="eastAsia"/>
          <w:sz w:val="32"/>
          <w:szCs w:val="32"/>
        </w:rPr>
        <w:t>中：人保、太平洋、平安、中华联合、国寿财、阳光、太平、</w:t>
      </w:r>
      <w:r w:rsidR="003D5FAA">
        <w:rPr>
          <w:rFonts w:ascii="仿宋" w:eastAsia="仿宋" w:hAnsi="仿宋" w:hint="eastAsia"/>
          <w:sz w:val="32"/>
          <w:szCs w:val="32"/>
        </w:rPr>
        <w:t>中航安盟、天安、渤海、亚太11</w:t>
      </w:r>
      <w:r w:rsidRPr="007E024A">
        <w:rPr>
          <w:rFonts w:ascii="仿宋" w:eastAsia="仿宋" w:hAnsi="仿宋" w:hint="eastAsia"/>
          <w:sz w:val="32"/>
          <w:szCs w:val="32"/>
        </w:rPr>
        <w:t>家机构车</w:t>
      </w:r>
      <w:proofErr w:type="gramStart"/>
      <w:r w:rsidRPr="007E024A">
        <w:rPr>
          <w:rFonts w:ascii="仿宋" w:eastAsia="仿宋" w:hAnsi="仿宋" w:hint="eastAsia"/>
          <w:sz w:val="32"/>
          <w:szCs w:val="32"/>
        </w:rPr>
        <w:t>险实现</w:t>
      </w:r>
      <w:proofErr w:type="gramEnd"/>
      <w:r w:rsidRPr="007E024A">
        <w:rPr>
          <w:rFonts w:ascii="仿宋" w:eastAsia="仿宋" w:hAnsi="仿宋" w:hint="eastAsia"/>
          <w:sz w:val="32"/>
          <w:szCs w:val="32"/>
        </w:rPr>
        <w:t>承保盈利，</w:t>
      </w:r>
      <w:r w:rsidR="003D5FAA">
        <w:rPr>
          <w:rFonts w:ascii="仿宋" w:eastAsia="仿宋" w:hAnsi="仿宋" w:hint="eastAsia"/>
          <w:sz w:val="32"/>
          <w:szCs w:val="32"/>
        </w:rPr>
        <w:t>华安、永安、大地、永城、大家、安</w:t>
      </w:r>
      <w:r w:rsidR="003D5FAA">
        <w:rPr>
          <w:rFonts w:ascii="仿宋" w:eastAsia="仿宋" w:hAnsi="仿宋" w:hint="eastAsia"/>
          <w:sz w:val="32"/>
          <w:szCs w:val="32"/>
        </w:rPr>
        <w:lastRenderedPageBreak/>
        <w:t>华农业、浙商、富邦、英大</w:t>
      </w:r>
      <w:r w:rsidRPr="007E024A">
        <w:rPr>
          <w:rFonts w:ascii="仿宋" w:eastAsia="仿宋" w:hAnsi="仿宋" w:hint="eastAsia"/>
          <w:sz w:val="32"/>
          <w:szCs w:val="32"/>
        </w:rPr>
        <w:t>等</w:t>
      </w:r>
      <w:r w:rsidR="003D5FAA">
        <w:rPr>
          <w:rFonts w:ascii="仿宋" w:eastAsia="仿宋" w:hAnsi="仿宋" w:hint="eastAsia"/>
          <w:sz w:val="32"/>
          <w:szCs w:val="32"/>
        </w:rPr>
        <w:t>9</w:t>
      </w:r>
      <w:r w:rsidRPr="007E024A">
        <w:rPr>
          <w:rFonts w:ascii="仿宋" w:eastAsia="仿宋" w:hAnsi="仿宋" w:hint="eastAsia"/>
          <w:sz w:val="32"/>
          <w:szCs w:val="32"/>
        </w:rPr>
        <w:t>家公司车</w:t>
      </w:r>
      <w:proofErr w:type="gramStart"/>
      <w:r w:rsidRPr="007E024A">
        <w:rPr>
          <w:rFonts w:ascii="仿宋" w:eastAsia="仿宋" w:hAnsi="仿宋" w:hint="eastAsia"/>
          <w:sz w:val="32"/>
          <w:szCs w:val="32"/>
        </w:rPr>
        <w:t>险综合</w:t>
      </w:r>
      <w:proofErr w:type="gramEnd"/>
      <w:r w:rsidRPr="007E024A">
        <w:rPr>
          <w:rFonts w:ascii="仿宋" w:eastAsia="仿宋" w:hAnsi="仿宋" w:hint="eastAsia"/>
          <w:sz w:val="32"/>
          <w:szCs w:val="32"/>
        </w:rPr>
        <w:t>成本率超百，车险经营亏损。</w:t>
      </w:r>
    </w:p>
    <w:p w:rsidR="007E024A" w:rsidRDefault="003D5FAA" w:rsidP="007E024A">
      <w:pPr>
        <w:rPr>
          <w:rFonts w:ascii="仿宋" w:eastAsia="仿宋" w:hAnsi="仿宋"/>
          <w:sz w:val="32"/>
          <w:szCs w:val="32"/>
        </w:rPr>
      </w:pPr>
      <w:r>
        <w:rPr>
          <w:noProof/>
        </w:rPr>
        <w:drawing>
          <wp:inline distT="0" distB="0" distL="0" distR="0" wp14:anchorId="4219383E" wp14:editId="3B672B3F">
            <wp:extent cx="5274310" cy="2633492"/>
            <wp:effectExtent l="0" t="0" r="21590" b="14605"/>
            <wp:docPr id="10"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7E024A" w:rsidRPr="007E024A" w:rsidRDefault="007E024A" w:rsidP="007E024A">
      <w:pPr>
        <w:ind w:firstLineChars="200" w:firstLine="643"/>
        <w:rPr>
          <w:rFonts w:ascii="仿宋" w:eastAsia="仿宋" w:hAnsi="仿宋"/>
          <w:b/>
          <w:bCs/>
          <w:sz w:val="32"/>
          <w:szCs w:val="32"/>
        </w:rPr>
      </w:pPr>
      <w:r w:rsidRPr="007E024A">
        <w:rPr>
          <w:rFonts w:ascii="仿宋" w:eastAsia="仿宋" w:hAnsi="仿宋" w:hint="eastAsia"/>
          <w:b/>
          <w:bCs/>
          <w:sz w:val="32"/>
          <w:szCs w:val="32"/>
        </w:rPr>
        <w:t>（三）</w:t>
      </w:r>
      <w:r w:rsidR="00890947" w:rsidRPr="007E024A">
        <w:rPr>
          <w:rFonts w:ascii="仿宋" w:eastAsia="仿宋" w:hAnsi="仿宋" w:hint="eastAsia"/>
          <w:b/>
          <w:bCs/>
          <w:sz w:val="32"/>
          <w:szCs w:val="32"/>
        </w:rPr>
        <w:t>农险盈利情况</w:t>
      </w:r>
    </w:p>
    <w:p w:rsidR="00B52ADD" w:rsidRPr="007E024A" w:rsidRDefault="00045FB2" w:rsidP="007E024A">
      <w:pPr>
        <w:ind w:firstLineChars="200" w:firstLine="640"/>
        <w:rPr>
          <w:rFonts w:ascii="仿宋" w:eastAsia="仿宋" w:hAnsi="仿宋"/>
          <w:sz w:val="32"/>
          <w:szCs w:val="32"/>
        </w:rPr>
      </w:pPr>
      <w:r>
        <w:rPr>
          <w:rFonts w:ascii="仿宋" w:eastAsia="仿宋" w:hAnsi="仿宋" w:hint="eastAsia"/>
          <w:sz w:val="32"/>
          <w:szCs w:val="32"/>
        </w:rPr>
        <w:t>9月末</w:t>
      </w:r>
      <w:r w:rsidR="00890947" w:rsidRPr="007E024A">
        <w:rPr>
          <w:rFonts w:ascii="仿宋" w:eastAsia="仿宋" w:hAnsi="仿宋" w:hint="eastAsia"/>
          <w:sz w:val="32"/>
          <w:szCs w:val="32"/>
        </w:rPr>
        <w:t>，丹东财险市场农险综合成本率</w:t>
      </w:r>
      <w:r w:rsidR="003D5FAA">
        <w:rPr>
          <w:rFonts w:ascii="仿宋" w:eastAsia="仿宋" w:hAnsi="仿宋" w:hint="eastAsia"/>
          <w:sz w:val="32"/>
          <w:szCs w:val="32"/>
        </w:rPr>
        <w:t xml:space="preserve">72 </w:t>
      </w:r>
      <w:r w:rsidR="00890947" w:rsidRPr="007E024A">
        <w:rPr>
          <w:rFonts w:ascii="仿宋" w:eastAsia="仿宋" w:hAnsi="仿宋" w:hint="eastAsia"/>
          <w:sz w:val="32"/>
          <w:szCs w:val="32"/>
        </w:rPr>
        <w:t>%，同比（</w:t>
      </w:r>
      <w:r w:rsidR="003D5FAA">
        <w:rPr>
          <w:rFonts w:ascii="仿宋" w:eastAsia="仿宋" w:hAnsi="仿宋" w:hint="eastAsia"/>
          <w:sz w:val="32"/>
          <w:szCs w:val="32"/>
        </w:rPr>
        <w:t>56.14</w:t>
      </w:r>
      <w:r w:rsidR="00890947" w:rsidRPr="007E024A">
        <w:rPr>
          <w:rFonts w:ascii="仿宋" w:eastAsia="仿宋" w:hAnsi="仿宋" w:hint="eastAsia"/>
          <w:sz w:val="32"/>
          <w:szCs w:val="32"/>
        </w:rPr>
        <w:t>%）上升</w:t>
      </w:r>
      <w:r w:rsidR="003D5FAA">
        <w:rPr>
          <w:rFonts w:ascii="仿宋" w:eastAsia="仿宋" w:hAnsi="仿宋" w:hint="eastAsia"/>
          <w:sz w:val="32"/>
          <w:szCs w:val="32"/>
        </w:rPr>
        <w:t>15.86</w:t>
      </w:r>
      <w:r w:rsidR="00890947" w:rsidRPr="007E024A">
        <w:rPr>
          <w:rFonts w:ascii="仿宋" w:eastAsia="仿宋" w:hAnsi="仿宋" w:hint="eastAsia"/>
          <w:sz w:val="32"/>
          <w:szCs w:val="32"/>
        </w:rPr>
        <w:t>个百分点。</w:t>
      </w:r>
    </w:p>
    <w:p w:rsidR="00B52ADD" w:rsidRDefault="007E024A" w:rsidP="007E024A">
      <w:pPr>
        <w:ind w:firstLineChars="200" w:firstLine="640"/>
        <w:rPr>
          <w:rFonts w:ascii="仿宋" w:eastAsia="仿宋" w:hAnsi="仿宋"/>
          <w:sz w:val="32"/>
          <w:szCs w:val="32"/>
        </w:rPr>
      </w:pPr>
      <w:r>
        <w:rPr>
          <w:rFonts w:ascii="仿宋" w:eastAsia="仿宋" w:hAnsi="仿宋" w:hint="eastAsia"/>
          <w:sz w:val="32"/>
          <w:szCs w:val="32"/>
        </w:rPr>
        <w:t>从</w:t>
      </w:r>
      <w:r w:rsidR="00890947" w:rsidRPr="007E024A">
        <w:rPr>
          <w:rFonts w:ascii="仿宋" w:eastAsia="仿宋" w:hAnsi="仿宋" w:hint="eastAsia"/>
          <w:sz w:val="32"/>
          <w:szCs w:val="32"/>
        </w:rPr>
        <w:t>主体</w:t>
      </w:r>
      <w:r>
        <w:rPr>
          <w:rFonts w:ascii="仿宋" w:eastAsia="仿宋" w:hAnsi="仿宋" w:hint="eastAsia"/>
          <w:sz w:val="32"/>
          <w:szCs w:val="32"/>
        </w:rPr>
        <w:t>情况看</w:t>
      </w:r>
      <w:r w:rsidR="00890947" w:rsidRPr="007E024A">
        <w:rPr>
          <w:rFonts w:ascii="仿宋" w:eastAsia="仿宋" w:hAnsi="仿宋" w:hint="eastAsia"/>
          <w:sz w:val="32"/>
          <w:szCs w:val="32"/>
        </w:rPr>
        <w:t>：经营农险业务的6家公司中：人保、太平洋、中华联合、国寿财</w:t>
      </w:r>
      <w:r w:rsidR="003D5FAA">
        <w:rPr>
          <w:rFonts w:ascii="仿宋" w:eastAsia="仿宋" w:hAnsi="仿宋" w:hint="eastAsia"/>
          <w:sz w:val="32"/>
          <w:szCs w:val="32"/>
        </w:rPr>
        <w:t>、</w:t>
      </w:r>
      <w:r w:rsidR="003D5FAA" w:rsidRPr="007E024A">
        <w:rPr>
          <w:rFonts w:ascii="仿宋" w:eastAsia="仿宋" w:hAnsi="仿宋" w:hint="eastAsia"/>
          <w:sz w:val="32"/>
          <w:szCs w:val="32"/>
        </w:rPr>
        <w:t>安华农业</w:t>
      </w:r>
      <w:r w:rsidR="003D5FAA">
        <w:rPr>
          <w:rFonts w:ascii="仿宋" w:eastAsia="仿宋" w:hAnsi="仿宋" w:hint="eastAsia"/>
          <w:sz w:val="32"/>
          <w:szCs w:val="32"/>
        </w:rPr>
        <w:t>5</w:t>
      </w:r>
      <w:r w:rsidR="00890947" w:rsidRPr="007E024A">
        <w:rPr>
          <w:rFonts w:ascii="仿宋" w:eastAsia="仿宋" w:hAnsi="仿宋" w:hint="eastAsia"/>
          <w:sz w:val="32"/>
          <w:szCs w:val="32"/>
        </w:rPr>
        <w:t>家公司农险承保盈利；中航安盟</w:t>
      </w:r>
      <w:r w:rsidR="003D5FAA">
        <w:rPr>
          <w:rFonts w:ascii="仿宋" w:eastAsia="仿宋" w:hAnsi="仿宋" w:hint="eastAsia"/>
          <w:sz w:val="32"/>
          <w:szCs w:val="32"/>
        </w:rPr>
        <w:t>1</w:t>
      </w:r>
      <w:r w:rsidR="00890947" w:rsidRPr="007E024A">
        <w:rPr>
          <w:rFonts w:ascii="仿宋" w:eastAsia="仿宋" w:hAnsi="仿宋" w:hint="eastAsia"/>
          <w:sz w:val="32"/>
          <w:szCs w:val="32"/>
        </w:rPr>
        <w:t>家公司农险综合成本率超百。</w:t>
      </w:r>
    </w:p>
    <w:p w:rsidR="007E024A" w:rsidRPr="007E024A" w:rsidRDefault="003D5FAA" w:rsidP="007E024A">
      <w:pPr>
        <w:rPr>
          <w:rFonts w:ascii="仿宋" w:eastAsia="仿宋" w:hAnsi="仿宋"/>
          <w:sz w:val="32"/>
          <w:szCs w:val="32"/>
        </w:rPr>
      </w:pPr>
      <w:r w:rsidRPr="003D5FAA">
        <w:rPr>
          <w:noProof/>
        </w:rPr>
        <w:drawing>
          <wp:inline distT="0" distB="0" distL="0" distR="0" wp14:anchorId="4C37FE52" wp14:editId="1B2468E2">
            <wp:extent cx="5271715" cy="2679590"/>
            <wp:effectExtent l="0" t="0" r="24765" b="26035"/>
            <wp:docPr id="13"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3D5FAA" w:rsidRDefault="003D5FAA" w:rsidP="007E024A">
      <w:pPr>
        <w:ind w:firstLineChars="200" w:firstLine="640"/>
        <w:rPr>
          <w:rFonts w:ascii="仿宋" w:eastAsia="仿宋" w:hAnsi="仿宋"/>
          <w:sz w:val="32"/>
          <w:szCs w:val="32"/>
        </w:rPr>
      </w:pPr>
    </w:p>
    <w:p w:rsidR="00793C3D" w:rsidRPr="00601628" w:rsidRDefault="007E024A" w:rsidP="003D6E3A">
      <w:pPr>
        <w:ind w:firstLineChars="200" w:firstLine="640"/>
        <w:rPr>
          <w:rFonts w:ascii="仿宋" w:eastAsia="仿宋" w:hAnsi="仿宋"/>
          <w:sz w:val="32"/>
          <w:szCs w:val="32"/>
        </w:rPr>
      </w:pPr>
      <w:r w:rsidRPr="00601628">
        <w:rPr>
          <w:rFonts w:ascii="仿宋" w:eastAsia="仿宋" w:hAnsi="仿宋" w:hint="eastAsia"/>
          <w:sz w:val="32"/>
          <w:szCs w:val="32"/>
        </w:rPr>
        <w:t>从</w:t>
      </w:r>
      <w:r w:rsidR="00890947" w:rsidRPr="00601628">
        <w:rPr>
          <w:rFonts w:ascii="仿宋" w:eastAsia="仿宋" w:hAnsi="仿宋" w:hint="eastAsia"/>
          <w:sz w:val="32"/>
          <w:szCs w:val="32"/>
        </w:rPr>
        <w:t>险种</w:t>
      </w:r>
      <w:r w:rsidRPr="00601628">
        <w:rPr>
          <w:rFonts w:ascii="仿宋" w:eastAsia="仿宋" w:hAnsi="仿宋" w:hint="eastAsia"/>
          <w:sz w:val="32"/>
          <w:szCs w:val="32"/>
        </w:rPr>
        <w:t>情况</w:t>
      </w:r>
      <w:r w:rsidR="00890947" w:rsidRPr="00601628">
        <w:rPr>
          <w:rFonts w:ascii="仿宋" w:eastAsia="仿宋" w:hAnsi="仿宋" w:hint="eastAsia"/>
          <w:sz w:val="32"/>
          <w:szCs w:val="32"/>
        </w:rPr>
        <w:t>：</w:t>
      </w:r>
      <w:r w:rsidR="00724E22" w:rsidRPr="00601628">
        <w:rPr>
          <w:rFonts w:ascii="仿宋" w:eastAsia="仿宋" w:hAnsi="仿宋" w:hint="eastAsia"/>
          <w:sz w:val="32"/>
          <w:szCs w:val="32"/>
        </w:rPr>
        <w:t>截止9月末，丹东地区种植险、森林险、养殖险三个险种均实现盈利。</w:t>
      </w:r>
    </w:p>
    <w:p w:rsidR="007E024A" w:rsidRDefault="003D5FAA" w:rsidP="003D6E3A">
      <w:pPr>
        <w:ind w:firstLineChars="200" w:firstLine="420"/>
        <w:rPr>
          <w:rFonts w:ascii="仿宋" w:eastAsia="仿宋" w:hAnsi="仿宋"/>
          <w:sz w:val="32"/>
          <w:szCs w:val="32"/>
        </w:rPr>
      </w:pPr>
      <w:r>
        <w:rPr>
          <w:noProof/>
        </w:rPr>
        <w:drawing>
          <wp:inline distT="0" distB="0" distL="0" distR="0" wp14:anchorId="2D130BF0" wp14:editId="4EBDCC81">
            <wp:extent cx="5271715" cy="2743200"/>
            <wp:effectExtent l="0" t="0" r="24765" b="19050"/>
            <wp:docPr id="14" name="图表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7E024A" w:rsidRPr="00475AA4" w:rsidRDefault="007E024A" w:rsidP="007E024A">
      <w:pPr>
        <w:ind w:firstLineChars="200" w:firstLine="643"/>
        <w:rPr>
          <w:rFonts w:ascii="仿宋" w:eastAsia="仿宋" w:hAnsi="仿宋"/>
          <w:b/>
          <w:bCs/>
          <w:sz w:val="32"/>
          <w:szCs w:val="32"/>
        </w:rPr>
      </w:pPr>
      <w:r w:rsidRPr="00475AA4">
        <w:rPr>
          <w:rFonts w:ascii="仿宋" w:eastAsia="仿宋" w:hAnsi="仿宋" w:hint="eastAsia"/>
          <w:b/>
          <w:bCs/>
          <w:sz w:val="32"/>
          <w:szCs w:val="32"/>
        </w:rPr>
        <w:t>（四）</w:t>
      </w:r>
      <w:proofErr w:type="gramStart"/>
      <w:r w:rsidR="00890947" w:rsidRPr="00475AA4">
        <w:rPr>
          <w:rFonts w:ascii="仿宋" w:eastAsia="仿宋" w:hAnsi="仿宋" w:hint="eastAsia"/>
          <w:b/>
          <w:bCs/>
          <w:sz w:val="32"/>
          <w:szCs w:val="32"/>
        </w:rPr>
        <w:t>商非盈利</w:t>
      </w:r>
      <w:proofErr w:type="gramEnd"/>
      <w:r w:rsidR="00890947" w:rsidRPr="00475AA4">
        <w:rPr>
          <w:rFonts w:ascii="仿宋" w:eastAsia="仿宋" w:hAnsi="仿宋" w:hint="eastAsia"/>
          <w:b/>
          <w:bCs/>
          <w:sz w:val="32"/>
          <w:szCs w:val="32"/>
        </w:rPr>
        <w:t>情况</w:t>
      </w:r>
    </w:p>
    <w:p w:rsidR="000C2504" w:rsidRDefault="00045FB2" w:rsidP="007E024A">
      <w:pPr>
        <w:ind w:firstLineChars="200" w:firstLine="640"/>
        <w:rPr>
          <w:rFonts w:ascii="仿宋" w:eastAsia="仿宋" w:hAnsi="仿宋"/>
          <w:sz w:val="32"/>
          <w:szCs w:val="32"/>
        </w:rPr>
      </w:pPr>
      <w:r w:rsidRPr="00475AA4">
        <w:rPr>
          <w:rFonts w:ascii="仿宋" w:eastAsia="仿宋" w:hAnsi="仿宋" w:hint="eastAsia"/>
          <w:sz w:val="32"/>
          <w:szCs w:val="32"/>
        </w:rPr>
        <w:t>9月末</w:t>
      </w:r>
      <w:r w:rsidR="00890947" w:rsidRPr="00475AA4">
        <w:rPr>
          <w:rFonts w:ascii="仿宋" w:eastAsia="仿宋" w:hAnsi="仿宋" w:hint="eastAsia"/>
          <w:sz w:val="32"/>
          <w:szCs w:val="32"/>
        </w:rPr>
        <w:t>，市场商非业务综合成本率</w:t>
      </w:r>
      <w:r w:rsidR="00CF6CE1" w:rsidRPr="00475AA4">
        <w:rPr>
          <w:rFonts w:ascii="仿宋" w:eastAsia="仿宋" w:hAnsi="仿宋" w:hint="eastAsia"/>
          <w:sz w:val="32"/>
          <w:szCs w:val="32"/>
        </w:rPr>
        <w:t>101.59</w:t>
      </w:r>
      <w:r w:rsidR="00890947" w:rsidRPr="00475AA4">
        <w:rPr>
          <w:rFonts w:ascii="仿宋" w:eastAsia="仿宋" w:hAnsi="仿宋" w:hint="eastAsia"/>
          <w:sz w:val="32"/>
          <w:szCs w:val="32"/>
        </w:rPr>
        <w:t>%</w:t>
      </w:r>
      <w:r w:rsidR="000C2504">
        <w:rPr>
          <w:rFonts w:ascii="仿宋" w:eastAsia="仿宋" w:hAnsi="仿宋" w:hint="eastAsia"/>
          <w:sz w:val="32"/>
          <w:szCs w:val="32"/>
        </w:rPr>
        <w:t>，行业商非业务经营亏损</w:t>
      </w:r>
      <w:r w:rsidR="00890947" w:rsidRPr="00475AA4">
        <w:rPr>
          <w:rFonts w:ascii="仿宋" w:eastAsia="仿宋" w:hAnsi="仿宋" w:hint="eastAsia"/>
          <w:sz w:val="32"/>
          <w:szCs w:val="32"/>
        </w:rPr>
        <w:t>。</w:t>
      </w:r>
    </w:p>
    <w:p w:rsidR="00B52ADD" w:rsidRPr="007E024A" w:rsidRDefault="00890947" w:rsidP="007E024A">
      <w:pPr>
        <w:ind w:firstLineChars="200" w:firstLine="640"/>
        <w:rPr>
          <w:rFonts w:ascii="仿宋" w:eastAsia="仿宋" w:hAnsi="仿宋"/>
          <w:sz w:val="32"/>
          <w:szCs w:val="32"/>
        </w:rPr>
      </w:pPr>
      <w:r w:rsidRPr="00475AA4">
        <w:rPr>
          <w:rFonts w:ascii="仿宋" w:eastAsia="仿宋" w:hAnsi="仿宋" w:hint="eastAsia"/>
          <w:sz w:val="32"/>
          <w:szCs w:val="32"/>
        </w:rPr>
        <w:t>从险种情况看，责任、货运、意健、工程、信用、船舶</w:t>
      </w:r>
      <w:proofErr w:type="gramStart"/>
      <w:r w:rsidRPr="00475AA4">
        <w:rPr>
          <w:rFonts w:ascii="仿宋" w:eastAsia="仿宋" w:hAnsi="仿宋" w:hint="eastAsia"/>
          <w:sz w:val="32"/>
          <w:szCs w:val="32"/>
        </w:rPr>
        <w:t>险实现</w:t>
      </w:r>
      <w:proofErr w:type="gramEnd"/>
      <w:r w:rsidRPr="00475AA4">
        <w:rPr>
          <w:rFonts w:ascii="仿宋" w:eastAsia="仿宋" w:hAnsi="仿宋" w:hint="eastAsia"/>
          <w:sz w:val="32"/>
          <w:szCs w:val="32"/>
        </w:rPr>
        <w:t>承保盈利；</w:t>
      </w:r>
      <w:r w:rsidR="00CF6CE1" w:rsidRPr="00475AA4">
        <w:rPr>
          <w:rFonts w:ascii="仿宋" w:eastAsia="仿宋" w:hAnsi="仿宋" w:hint="eastAsia"/>
          <w:sz w:val="32"/>
          <w:szCs w:val="32"/>
        </w:rPr>
        <w:t>企财险、</w:t>
      </w:r>
      <w:r w:rsidR="000C2504">
        <w:rPr>
          <w:rFonts w:ascii="仿宋" w:eastAsia="仿宋" w:hAnsi="仿宋" w:hint="eastAsia"/>
          <w:sz w:val="32"/>
          <w:szCs w:val="32"/>
        </w:rPr>
        <w:t>家财险、保证</w:t>
      </w:r>
      <w:proofErr w:type="gramStart"/>
      <w:r w:rsidR="000C2504">
        <w:rPr>
          <w:rFonts w:ascii="仿宋" w:eastAsia="仿宋" w:hAnsi="仿宋" w:hint="eastAsia"/>
          <w:sz w:val="32"/>
          <w:szCs w:val="32"/>
        </w:rPr>
        <w:t>险综合</w:t>
      </w:r>
      <w:proofErr w:type="gramEnd"/>
      <w:r w:rsidR="000C2504">
        <w:rPr>
          <w:rFonts w:ascii="仿宋" w:eastAsia="仿宋" w:hAnsi="仿宋" w:hint="eastAsia"/>
          <w:sz w:val="32"/>
          <w:szCs w:val="32"/>
        </w:rPr>
        <w:t>成本率超百承保亏损，亏损额度最大的是保证险，亏损</w:t>
      </w:r>
      <w:r w:rsidR="009823D0">
        <w:rPr>
          <w:rFonts w:ascii="仿宋" w:eastAsia="仿宋" w:hAnsi="仿宋" w:hint="eastAsia"/>
          <w:sz w:val="32"/>
          <w:szCs w:val="32"/>
        </w:rPr>
        <w:t>额</w:t>
      </w:r>
      <w:r w:rsidR="000C2504">
        <w:rPr>
          <w:rFonts w:ascii="仿宋" w:eastAsia="仿宋" w:hAnsi="仿宋" w:hint="eastAsia"/>
          <w:sz w:val="32"/>
          <w:szCs w:val="32"/>
        </w:rPr>
        <w:t>千万</w:t>
      </w:r>
      <w:r w:rsidR="009823D0">
        <w:rPr>
          <w:rFonts w:ascii="仿宋" w:eastAsia="仿宋" w:hAnsi="仿宋" w:hint="eastAsia"/>
          <w:sz w:val="32"/>
          <w:szCs w:val="32"/>
        </w:rPr>
        <w:t>以上</w:t>
      </w:r>
      <w:r w:rsidR="000C2504">
        <w:rPr>
          <w:rFonts w:ascii="仿宋" w:eastAsia="仿宋" w:hAnsi="仿宋" w:hint="eastAsia"/>
          <w:sz w:val="32"/>
          <w:szCs w:val="32"/>
        </w:rPr>
        <w:t>。</w:t>
      </w:r>
    </w:p>
    <w:p w:rsidR="007E024A" w:rsidRPr="007E024A" w:rsidRDefault="00CF6CE1" w:rsidP="007E024A">
      <w:pPr>
        <w:rPr>
          <w:rFonts w:ascii="仿宋" w:eastAsia="仿宋" w:hAnsi="仿宋"/>
          <w:sz w:val="32"/>
          <w:szCs w:val="32"/>
        </w:rPr>
      </w:pPr>
      <w:r w:rsidRPr="00CF6CE1">
        <w:rPr>
          <w:noProof/>
          <w:shd w:val="clear" w:color="auto" w:fill="F79646" w:themeFill="accent6"/>
        </w:rPr>
        <w:drawing>
          <wp:inline distT="0" distB="0" distL="0" distR="0" wp14:anchorId="4EA0C4C6" wp14:editId="08A9B6B3">
            <wp:extent cx="5208104" cy="2234317"/>
            <wp:effectExtent l="0" t="0" r="12065" b="13970"/>
            <wp:docPr id="11"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B52ADD" w:rsidRPr="007E024A" w:rsidRDefault="00890947" w:rsidP="007E024A">
      <w:pPr>
        <w:ind w:firstLineChars="200" w:firstLine="640"/>
        <w:rPr>
          <w:rFonts w:ascii="仿宋" w:eastAsia="仿宋" w:hAnsi="仿宋"/>
          <w:sz w:val="32"/>
          <w:szCs w:val="32"/>
        </w:rPr>
      </w:pPr>
      <w:r w:rsidRPr="007E024A">
        <w:rPr>
          <w:rFonts w:ascii="仿宋" w:eastAsia="仿宋" w:hAnsi="仿宋" w:hint="eastAsia"/>
          <w:sz w:val="32"/>
          <w:szCs w:val="32"/>
        </w:rPr>
        <w:lastRenderedPageBreak/>
        <w:t>从各</w:t>
      </w:r>
      <w:proofErr w:type="gramStart"/>
      <w:r w:rsidRPr="007E024A">
        <w:rPr>
          <w:rFonts w:ascii="仿宋" w:eastAsia="仿宋" w:hAnsi="仿宋" w:hint="eastAsia"/>
          <w:sz w:val="32"/>
          <w:szCs w:val="32"/>
        </w:rPr>
        <w:t>主体商非业务</w:t>
      </w:r>
      <w:proofErr w:type="gramEnd"/>
      <w:r w:rsidRPr="007E024A">
        <w:rPr>
          <w:rFonts w:ascii="仿宋" w:eastAsia="仿宋" w:hAnsi="仿宋" w:hint="eastAsia"/>
          <w:sz w:val="32"/>
          <w:szCs w:val="32"/>
        </w:rPr>
        <w:t>情况看，全市20家财险公司中</w:t>
      </w:r>
      <w:r w:rsidR="00475AA4">
        <w:rPr>
          <w:rFonts w:ascii="仿宋" w:eastAsia="仿宋" w:hAnsi="仿宋" w:hint="eastAsia"/>
          <w:sz w:val="32"/>
          <w:szCs w:val="32"/>
        </w:rPr>
        <w:t>：</w:t>
      </w:r>
      <w:r w:rsidRPr="007E024A">
        <w:rPr>
          <w:rFonts w:ascii="仿宋" w:eastAsia="仿宋" w:hAnsi="仿宋" w:hint="eastAsia"/>
          <w:sz w:val="32"/>
          <w:szCs w:val="32"/>
        </w:rPr>
        <w:t>人保、太平洋、平安、国寿财、</w:t>
      </w:r>
      <w:r w:rsidR="00475AA4">
        <w:rPr>
          <w:rFonts w:ascii="仿宋" w:eastAsia="仿宋" w:hAnsi="仿宋" w:hint="eastAsia"/>
          <w:sz w:val="32"/>
          <w:szCs w:val="32"/>
        </w:rPr>
        <w:t>阳光、太平、安华、永城、中航安盟、浙商、渤海、永安、天安、富邦、华安</w:t>
      </w:r>
      <w:r w:rsidRPr="007E024A">
        <w:rPr>
          <w:rFonts w:ascii="仿宋" w:eastAsia="仿宋" w:hAnsi="仿宋" w:hint="eastAsia"/>
          <w:sz w:val="32"/>
          <w:szCs w:val="32"/>
        </w:rPr>
        <w:t>等1</w:t>
      </w:r>
      <w:r w:rsidR="00475AA4">
        <w:rPr>
          <w:rFonts w:ascii="仿宋" w:eastAsia="仿宋" w:hAnsi="仿宋" w:hint="eastAsia"/>
          <w:sz w:val="32"/>
          <w:szCs w:val="32"/>
        </w:rPr>
        <w:t>5</w:t>
      </w:r>
      <w:r w:rsidRPr="007E024A">
        <w:rPr>
          <w:rFonts w:ascii="仿宋" w:eastAsia="仿宋" w:hAnsi="仿宋" w:hint="eastAsia"/>
          <w:sz w:val="32"/>
          <w:szCs w:val="32"/>
        </w:rPr>
        <w:t>家</w:t>
      </w:r>
      <w:proofErr w:type="gramStart"/>
      <w:r w:rsidRPr="007E024A">
        <w:rPr>
          <w:rFonts w:ascii="仿宋" w:eastAsia="仿宋" w:hAnsi="仿宋" w:hint="eastAsia"/>
          <w:sz w:val="32"/>
          <w:szCs w:val="32"/>
        </w:rPr>
        <w:t>公司商非实现</w:t>
      </w:r>
      <w:proofErr w:type="gramEnd"/>
      <w:r w:rsidRPr="007E024A">
        <w:rPr>
          <w:rFonts w:ascii="仿宋" w:eastAsia="仿宋" w:hAnsi="仿宋" w:hint="eastAsia"/>
          <w:sz w:val="32"/>
          <w:szCs w:val="32"/>
        </w:rPr>
        <w:t>承保盈利；中华</w:t>
      </w:r>
      <w:r w:rsidR="00475AA4">
        <w:rPr>
          <w:rFonts w:ascii="仿宋" w:eastAsia="仿宋" w:hAnsi="仿宋" w:hint="eastAsia"/>
          <w:sz w:val="32"/>
          <w:szCs w:val="32"/>
        </w:rPr>
        <w:t>联合</w:t>
      </w:r>
      <w:r w:rsidRPr="007E024A">
        <w:rPr>
          <w:rFonts w:ascii="仿宋" w:eastAsia="仿宋" w:hAnsi="仿宋" w:hint="eastAsia"/>
          <w:sz w:val="32"/>
          <w:szCs w:val="32"/>
        </w:rPr>
        <w:t>、大地、</w:t>
      </w:r>
      <w:r w:rsidR="00475AA4">
        <w:rPr>
          <w:rFonts w:ascii="仿宋" w:eastAsia="仿宋" w:hAnsi="仿宋" w:hint="eastAsia"/>
          <w:sz w:val="32"/>
          <w:szCs w:val="32"/>
        </w:rPr>
        <w:t>英大、大家</w:t>
      </w:r>
      <w:r w:rsidRPr="007E024A">
        <w:rPr>
          <w:rFonts w:ascii="仿宋" w:eastAsia="仿宋" w:hAnsi="仿宋" w:hint="eastAsia"/>
          <w:sz w:val="32"/>
          <w:szCs w:val="32"/>
        </w:rPr>
        <w:t>、亚太</w:t>
      </w:r>
      <w:r w:rsidR="00475AA4">
        <w:rPr>
          <w:rFonts w:ascii="仿宋" w:eastAsia="仿宋" w:hAnsi="仿宋" w:hint="eastAsia"/>
          <w:sz w:val="32"/>
          <w:szCs w:val="32"/>
        </w:rPr>
        <w:t>5</w:t>
      </w:r>
      <w:r w:rsidRPr="007E024A">
        <w:rPr>
          <w:rFonts w:ascii="仿宋" w:eastAsia="仿宋" w:hAnsi="仿宋" w:hint="eastAsia"/>
          <w:sz w:val="32"/>
          <w:szCs w:val="32"/>
        </w:rPr>
        <w:t>家</w:t>
      </w:r>
      <w:proofErr w:type="gramStart"/>
      <w:r w:rsidRPr="007E024A">
        <w:rPr>
          <w:rFonts w:ascii="仿宋" w:eastAsia="仿宋" w:hAnsi="仿宋" w:hint="eastAsia"/>
          <w:sz w:val="32"/>
          <w:szCs w:val="32"/>
        </w:rPr>
        <w:t>公司商非综合</w:t>
      </w:r>
      <w:proofErr w:type="gramEnd"/>
      <w:r w:rsidRPr="007E024A">
        <w:rPr>
          <w:rFonts w:ascii="仿宋" w:eastAsia="仿宋" w:hAnsi="仿宋" w:hint="eastAsia"/>
          <w:sz w:val="32"/>
          <w:szCs w:val="32"/>
        </w:rPr>
        <w:t>成本率超百</w:t>
      </w:r>
      <w:r w:rsidR="009823D0">
        <w:rPr>
          <w:rFonts w:ascii="仿宋" w:eastAsia="仿宋" w:hAnsi="仿宋" w:hint="eastAsia"/>
          <w:sz w:val="32"/>
          <w:szCs w:val="32"/>
        </w:rPr>
        <w:t>，</w:t>
      </w:r>
      <w:proofErr w:type="gramStart"/>
      <w:r w:rsidR="009823D0">
        <w:rPr>
          <w:rFonts w:ascii="仿宋" w:eastAsia="仿宋" w:hAnsi="仿宋" w:hint="eastAsia"/>
          <w:sz w:val="32"/>
          <w:szCs w:val="32"/>
        </w:rPr>
        <w:t>商非业务</w:t>
      </w:r>
      <w:proofErr w:type="gramEnd"/>
      <w:r w:rsidR="009823D0">
        <w:rPr>
          <w:rFonts w:ascii="仿宋" w:eastAsia="仿宋" w:hAnsi="仿宋" w:hint="eastAsia"/>
          <w:sz w:val="32"/>
          <w:szCs w:val="32"/>
        </w:rPr>
        <w:t>亏损</w:t>
      </w:r>
      <w:r w:rsidRPr="007E024A">
        <w:rPr>
          <w:rFonts w:ascii="仿宋" w:eastAsia="仿宋" w:hAnsi="仿宋" w:hint="eastAsia"/>
          <w:sz w:val="32"/>
          <w:szCs w:val="32"/>
        </w:rPr>
        <w:t>。</w:t>
      </w:r>
      <w:r w:rsidR="009823D0">
        <w:rPr>
          <w:rFonts w:ascii="仿宋" w:eastAsia="仿宋" w:hAnsi="仿宋" w:hint="eastAsia"/>
          <w:sz w:val="32"/>
          <w:szCs w:val="32"/>
        </w:rPr>
        <w:t>其中：中华</w:t>
      </w:r>
      <w:proofErr w:type="gramStart"/>
      <w:r w:rsidR="009823D0">
        <w:rPr>
          <w:rFonts w:ascii="仿宋" w:eastAsia="仿宋" w:hAnsi="仿宋" w:hint="eastAsia"/>
          <w:sz w:val="32"/>
          <w:szCs w:val="32"/>
        </w:rPr>
        <w:t>联合受保证</w:t>
      </w:r>
      <w:proofErr w:type="gramEnd"/>
      <w:r w:rsidR="009823D0">
        <w:rPr>
          <w:rFonts w:ascii="仿宋" w:eastAsia="仿宋" w:hAnsi="仿宋" w:hint="eastAsia"/>
          <w:sz w:val="32"/>
          <w:szCs w:val="32"/>
        </w:rPr>
        <w:t>险赔付</w:t>
      </w:r>
      <w:proofErr w:type="gramStart"/>
      <w:r w:rsidR="009823D0">
        <w:rPr>
          <w:rFonts w:ascii="仿宋" w:eastAsia="仿宋" w:hAnsi="仿宋" w:hint="eastAsia"/>
          <w:sz w:val="32"/>
          <w:szCs w:val="32"/>
        </w:rPr>
        <w:t>影响商非</w:t>
      </w:r>
      <w:proofErr w:type="gramEnd"/>
      <w:r w:rsidR="009823D0">
        <w:rPr>
          <w:rFonts w:ascii="仿宋" w:eastAsia="仿宋" w:hAnsi="仿宋" w:hint="eastAsia"/>
          <w:sz w:val="32"/>
          <w:szCs w:val="32"/>
        </w:rPr>
        <w:t>亏损额1400余万元；亚太亏损达百万；大地、英大、大家亏损额在百万以内。</w:t>
      </w:r>
    </w:p>
    <w:p w:rsidR="007E024A" w:rsidRDefault="00475AA4" w:rsidP="007E024A">
      <w:pPr>
        <w:rPr>
          <w:rFonts w:ascii="仿宋" w:eastAsia="仿宋" w:hAnsi="仿宋"/>
          <w:sz w:val="32"/>
          <w:szCs w:val="32"/>
        </w:rPr>
      </w:pPr>
      <w:r>
        <w:rPr>
          <w:noProof/>
        </w:rPr>
        <w:drawing>
          <wp:inline distT="0" distB="0" distL="0" distR="0" wp14:anchorId="62BAB826" wp14:editId="5BB3B78C">
            <wp:extent cx="5470497" cy="2735249"/>
            <wp:effectExtent l="0" t="0" r="16510" b="27305"/>
            <wp:docPr id="12"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0C2504" w:rsidRDefault="000C2504" w:rsidP="007E024A">
      <w:pPr>
        <w:rPr>
          <w:rFonts w:ascii="仿宋" w:eastAsia="仿宋" w:hAnsi="仿宋"/>
          <w:sz w:val="32"/>
          <w:szCs w:val="32"/>
        </w:rPr>
      </w:pPr>
      <w:r>
        <w:rPr>
          <w:rFonts w:ascii="仿宋" w:eastAsia="仿宋" w:hAnsi="仿宋" w:hint="eastAsia"/>
          <w:sz w:val="32"/>
          <w:szCs w:val="32"/>
        </w:rPr>
        <w:t xml:space="preserve">    </w:t>
      </w:r>
      <w:proofErr w:type="gramStart"/>
      <w:r>
        <w:rPr>
          <w:rFonts w:ascii="仿宋" w:eastAsia="仿宋" w:hAnsi="仿宋" w:hint="eastAsia"/>
          <w:sz w:val="32"/>
          <w:szCs w:val="32"/>
        </w:rPr>
        <w:t>商非险种</w:t>
      </w:r>
      <w:proofErr w:type="gramEnd"/>
      <w:r>
        <w:rPr>
          <w:rFonts w:ascii="仿宋" w:eastAsia="仿宋" w:hAnsi="仿宋" w:hint="eastAsia"/>
          <w:sz w:val="32"/>
          <w:szCs w:val="32"/>
        </w:rPr>
        <w:t>亏损的主要原因：是中华联合保证</w:t>
      </w:r>
      <w:proofErr w:type="gramStart"/>
      <w:r>
        <w:rPr>
          <w:rFonts w:ascii="仿宋" w:eastAsia="仿宋" w:hAnsi="仿宋" w:hint="eastAsia"/>
          <w:sz w:val="32"/>
          <w:szCs w:val="32"/>
        </w:rPr>
        <w:t>险亏损</w:t>
      </w:r>
      <w:proofErr w:type="gramEnd"/>
      <w:r>
        <w:rPr>
          <w:rFonts w:ascii="仿宋" w:eastAsia="仿宋" w:hAnsi="仿宋" w:hint="eastAsia"/>
          <w:sz w:val="32"/>
          <w:szCs w:val="32"/>
        </w:rPr>
        <w:t>1460影响。</w:t>
      </w:r>
    </w:p>
    <w:p w:rsidR="007E024A" w:rsidRPr="000D2D63" w:rsidRDefault="007E024A" w:rsidP="00890947">
      <w:pPr>
        <w:pStyle w:val="a3"/>
        <w:numPr>
          <w:ilvl w:val="0"/>
          <w:numId w:val="5"/>
        </w:numPr>
        <w:ind w:firstLineChars="0"/>
        <w:rPr>
          <w:rFonts w:ascii="仿宋" w:eastAsia="仿宋" w:hAnsi="仿宋"/>
          <w:b/>
          <w:bCs/>
          <w:sz w:val="32"/>
          <w:szCs w:val="32"/>
        </w:rPr>
      </w:pPr>
      <w:r w:rsidRPr="000D2D63">
        <w:rPr>
          <w:rFonts w:ascii="仿宋" w:eastAsia="仿宋" w:hAnsi="仿宋" w:hint="eastAsia"/>
          <w:b/>
          <w:bCs/>
          <w:sz w:val="32"/>
          <w:szCs w:val="32"/>
        </w:rPr>
        <w:t>市场综述</w:t>
      </w:r>
    </w:p>
    <w:p w:rsidR="007E024A" w:rsidRPr="000D2D63" w:rsidRDefault="007E024A" w:rsidP="001B5487">
      <w:pPr>
        <w:ind w:firstLineChars="200" w:firstLine="643"/>
        <w:rPr>
          <w:rFonts w:ascii="仿宋" w:eastAsia="仿宋" w:hAnsi="仿宋"/>
          <w:b/>
          <w:sz w:val="32"/>
          <w:szCs w:val="32"/>
        </w:rPr>
      </w:pPr>
      <w:r w:rsidRPr="000D2D63">
        <w:rPr>
          <w:rFonts w:ascii="仿宋" w:eastAsia="仿宋" w:hAnsi="仿宋" w:hint="eastAsia"/>
          <w:b/>
          <w:bCs/>
          <w:sz w:val="32"/>
          <w:szCs w:val="32"/>
        </w:rPr>
        <w:t>（一）市场运行总体平稳</w:t>
      </w:r>
    </w:p>
    <w:p w:rsidR="007E024A" w:rsidRPr="000D2D63" w:rsidRDefault="007E024A" w:rsidP="001B5487">
      <w:pPr>
        <w:ind w:firstLineChars="200" w:firstLine="640"/>
        <w:rPr>
          <w:rFonts w:ascii="仿宋" w:eastAsia="仿宋" w:hAnsi="仿宋"/>
          <w:sz w:val="32"/>
          <w:szCs w:val="32"/>
        </w:rPr>
      </w:pPr>
      <w:r w:rsidRPr="000D2D63">
        <w:rPr>
          <w:rFonts w:ascii="仿宋" w:eastAsia="仿宋" w:hAnsi="仿宋" w:hint="eastAsia"/>
          <w:sz w:val="32"/>
          <w:szCs w:val="32"/>
        </w:rPr>
        <w:t xml:space="preserve"> 整体保费收入持续增长，行业增速</w:t>
      </w:r>
      <w:r w:rsidR="000D2D63">
        <w:rPr>
          <w:rFonts w:ascii="仿宋" w:eastAsia="仿宋" w:hAnsi="仿宋" w:hint="eastAsia"/>
          <w:sz w:val="32"/>
          <w:szCs w:val="32"/>
        </w:rPr>
        <w:t>11.65%，</w:t>
      </w:r>
      <w:r w:rsidRPr="000D2D63">
        <w:rPr>
          <w:rFonts w:ascii="仿宋" w:eastAsia="仿宋" w:hAnsi="仿宋" w:hint="eastAsia"/>
          <w:sz w:val="32"/>
          <w:szCs w:val="32"/>
        </w:rPr>
        <w:t>同比提升</w:t>
      </w:r>
      <w:r w:rsidR="000D2D63">
        <w:rPr>
          <w:rFonts w:ascii="仿宋" w:eastAsia="仿宋" w:hAnsi="仿宋" w:hint="eastAsia"/>
          <w:sz w:val="32"/>
          <w:szCs w:val="32"/>
        </w:rPr>
        <w:t>2.5个百分点</w:t>
      </w:r>
      <w:r w:rsidRPr="000D2D63">
        <w:rPr>
          <w:rFonts w:ascii="仿宋" w:eastAsia="仿宋" w:hAnsi="仿宋" w:hint="eastAsia"/>
          <w:sz w:val="32"/>
          <w:szCs w:val="32"/>
        </w:rPr>
        <w:t>。</w:t>
      </w:r>
    </w:p>
    <w:p w:rsidR="007E024A" w:rsidRPr="000D2D63" w:rsidRDefault="00045FB2" w:rsidP="001B5487">
      <w:pPr>
        <w:ind w:firstLineChars="200" w:firstLine="640"/>
        <w:rPr>
          <w:rFonts w:ascii="仿宋" w:eastAsia="仿宋" w:hAnsi="仿宋"/>
          <w:sz w:val="32"/>
          <w:szCs w:val="32"/>
        </w:rPr>
      </w:pPr>
      <w:r w:rsidRPr="000D2D63">
        <w:rPr>
          <w:rFonts w:ascii="仿宋" w:eastAsia="仿宋" w:hAnsi="仿宋" w:hint="eastAsia"/>
          <w:sz w:val="32"/>
          <w:szCs w:val="32"/>
        </w:rPr>
        <w:t>今年以来</w:t>
      </w:r>
      <w:r w:rsidR="007E024A" w:rsidRPr="000D2D63">
        <w:rPr>
          <w:rFonts w:ascii="仿宋" w:eastAsia="仿宋" w:hAnsi="仿宋" w:hint="eastAsia"/>
          <w:sz w:val="32"/>
          <w:szCs w:val="32"/>
        </w:rPr>
        <w:t>，受疫情和异地返税政策影响，</w:t>
      </w:r>
      <w:r w:rsidR="000D2D63">
        <w:rPr>
          <w:rFonts w:ascii="仿宋" w:eastAsia="仿宋" w:hAnsi="仿宋" w:hint="eastAsia"/>
          <w:sz w:val="32"/>
          <w:szCs w:val="32"/>
        </w:rPr>
        <w:t>虽</w:t>
      </w:r>
      <w:r w:rsidR="007E024A" w:rsidRPr="000D2D63">
        <w:rPr>
          <w:rFonts w:ascii="仿宋" w:eastAsia="仿宋" w:hAnsi="仿宋" w:hint="eastAsia"/>
          <w:sz w:val="32"/>
          <w:szCs w:val="32"/>
        </w:rPr>
        <w:t>车险业务份额下降，增速下滑，但农险和商非业务增速较快，弥补了行</w:t>
      </w:r>
      <w:r w:rsidR="007E024A" w:rsidRPr="000D2D63">
        <w:rPr>
          <w:rFonts w:ascii="仿宋" w:eastAsia="仿宋" w:hAnsi="仿宋" w:hint="eastAsia"/>
          <w:sz w:val="32"/>
          <w:szCs w:val="32"/>
        </w:rPr>
        <w:lastRenderedPageBreak/>
        <w:t>业整体业务下滑态势。</w:t>
      </w:r>
    </w:p>
    <w:p w:rsidR="007E024A" w:rsidRPr="007E024A" w:rsidRDefault="007E024A" w:rsidP="00890947">
      <w:pPr>
        <w:pStyle w:val="a3"/>
        <w:numPr>
          <w:ilvl w:val="0"/>
          <w:numId w:val="6"/>
        </w:numPr>
        <w:ind w:firstLineChars="0"/>
        <w:rPr>
          <w:rFonts w:ascii="仿宋" w:eastAsia="仿宋" w:hAnsi="仿宋"/>
          <w:b/>
          <w:sz w:val="32"/>
          <w:szCs w:val="32"/>
        </w:rPr>
      </w:pPr>
      <w:r w:rsidRPr="007E024A">
        <w:rPr>
          <w:rFonts w:ascii="仿宋" w:eastAsia="仿宋" w:hAnsi="仿宋" w:hint="eastAsia"/>
          <w:b/>
          <w:bCs/>
          <w:sz w:val="32"/>
          <w:szCs w:val="32"/>
        </w:rPr>
        <w:t>消费理念逐步成熟</w:t>
      </w:r>
    </w:p>
    <w:p w:rsidR="007E024A" w:rsidRPr="001B5487" w:rsidRDefault="00045FB2" w:rsidP="001B5487">
      <w:pPr>
        <w:ind w:firstLineChars="200" w:firstLine="640"/>
        <w:rPr>
          <w:rFonts w:ascii="仿宋" w:eastAsia="仿宋" w:hAnsi="仿宋"/>
          <w:sz w:val="32"/>
          <w:szCs w:val="32"/>
        </w:rPr>
      </w:pPr>
      <w:r>
        <w:rPr>
          <w:rFonts w:ascii="仿宋" w:eastAsia="仿宋" w:hAnsi="仿宋" w:hint="eastAsia"/>
          <w:sz w:val="32"/>
          <w:szCs w:val="32"/>
        </w:rPr>
        <w:t>1-9月</w:t>
      </w:r>
      <w:r w:rsidR="007E024A" w:rsidRPr="001B5487">
        <w:rPr>
          <w:rFonts w:ascii="仿宋" w:eastAsia="仿宋" w:hAnsi="仿宋" w:hint="eastAsia"/>
          <w:sz w:val="32"/>
          <w:szCs w:val="32"/>
        </w:rPr>
        <w:t>，</w:t>
      </w:r>
      <w:proofErr w:type="gramStart"/>
      <w:r w:rsidR="007E024A" w:rsidRPr="001B5487">
        <w:rPr>
          <w:rFonts w:ascii="仿宋" w:eastAsia="仿宋" w:hAnsi="仿宋" w:hint="eastAsia"/>
          <w:sz w:val="32"/>
          <w:szCs w:val="32"/>
        </w:rPr>
        <w:t>商非业务中意健险保费</w:t>
      </w:r>
      <w:proofErr w:type="gramEnd"/>
      <w:r w:rsidR="000D2D63">
        <w:rPr>
          <w:rFonts w:ascii="仿宋" w:eastAsia="仿宋" w:hAnsi="仿宋" w:hint="eastAsia"/>
          <w:sz w:val="32"/>
          <w:szCs w:val="32"/>
        </w:rPr>
        <w:t>13795</w:t>
      </w:r>
      <w:r w:rsidR="007E024A" w:rsidRPr="001B5487">
        <w:rPr>
          <w:rFonts w:ascii="仿宋" w:eastAsia="仿宋" w:hAnsi="仿宋" w:hint="eastAsia"/>
          <w:sz w:val="32"/>
          <w:szCs w:val="32"/>
        </w:rPr>
        <w:t>万，增速高达</w:t>
      </w:r>
      <w:r w:rsidR="000D2D63">
        <w:rPr>
          <w:rFonts w:ascii="仿宋" w:eastAsia="仿宋" w:hAnsi="仿宋" w:hint="eastAsia"/>
          <w:sz w:val="32"/>
          <w:szCs w:val="32"/>
        </w:rPr>
        <w:t>134.94</w:t>
      </w:r>
      <w:r w:rsidR="007E024A" w:rsidRPr="001B5487">
        <w:rPr>
          <w:rFonts w:ascii="仿宋" w:eastAsia="仿宋" w:hAnsi="仿宋" w:hint="eastAsia"/>
          <w:sz w:val="32"/>
          <w:szCs w:val="32"/>
        </w:rPr>
        <w:t>%,保费同比增加</w:t>
      </w:r>
      <w:r w:rsidR="000D2D63">
        <w:rPr>
          <w:rFonts w:ascii="仿宋" w:eastAsia="仿宋" w:hAnsi="仿宋" w:hint="eastAsia"/>
          <w:sz w:val="32"/>
          <w:szCs w:val="32"/>
        </w:rPr>
        <w:t>7923</w:t>
      </w:r>
      <w:r w:rsidR="007E024A" w:rsidRPr="001B5487">
        <w:rPr>
          <w:rFonts w:ascii="仿宋" w:eastAsia="仿宋" w:hAnsi="仿宋" w:hint="eastAsia"/>
          <w:sz w:val="32"/>
          <w:szCs w:val="32"/>
        </w:rPr>
        <w:t>万，增速同比提升</w:t>
      </w:r>
      <w:r w:rsidR="000D2D63">
        <w:rPr>
          <w:rFonts w:ascii="仿宋" w:eastAsia="仿宋" w:hAnsi="仿宋" w:hint="eastAsia"/>
          <w:sz w:val="32"/>
          <w:szCs w:val="32"/>
        </w:rPr>
        <w:t>97</w:t>
      </w:r>
      <w:r w:rsidR="007E024A" w:rsidRPr="001B5487">
        <w:rPr>
          <w:rFonts w:ascii="仿宋" w:eastAsia="仿宋" w:hAnsi="仿宋" w:hint="eastAsia"/>
          <w:sz w:val="32"/>
          <w:szCs w:val="32"/>
        </w:rPr>
        <w:t>个百分点，成为除车险、农险外的第三大险种，除城乡居民大病保险、扶贫保险的承办，进一步说明人们的健康投保意识在不断增强。</w:t>
      </w:r>
    </w:p>
    <w:p w:rsidR="007E024A" w:rsidRPr="007E024A" w:rsidRDefault="007E024A" w:rsidP="007E024A">
      <w:pPr>
        <w:ind w:firstLineChars="200" w:firstLine="643"/>
        <w:rPr>
          <w:rFonts w:ascii="仿宋" w:eastAsia="仿宋" w:hAnsi="仿宋"/>
          <w:b/>
          <w:sz w:val="32"/>
          <w:szCs w:val="32"/>
        </w:rPr>
      </w:pPr>
      <w:r w:rsidRPr="007E024A">
        <w:rPr>
          <w:rFonts w:ascii="仿宋" w:eastAsia="仿宋" w:hAnsi="仿宋" w:hint="eastAsia"/>
          <w:b/>
          <w:bCs/>
          <w:sz w:val="32"/>
          <w:szCs w:val="32"/>
        </w:rPr>
        <w:t>（</w:t>
      </w:r>
      <w:r w:rsidR="007616EC">
        <w:rPr>
          <w:rFonts w:ascii="仿宋" w:eastAsia="仿宋" w:hAnsi="仿宋" w:hint="eastAsia"/>
          <w:b/>
          <w:bCs/>
          <w:sz w:val="32"/>
          <w:szCs w:val="32"/>
        </w:rPr>
        <w:t>三</w:t>
      </w:r>
      <w:r w:rsidRPr="007E024A">
        <w:rPr>
          <w:rFonts w:ascii="仿宋" w:eastAsia="仿宋" w:hAnsi="仿宋" w:hint="eastAsia"/>
          <w:b/>
          <w:bCs/>
          <w:sz w:val="32"/>
          <w:szCs w:val="32"/>
        </w:rPr>
        <w:t>）服务三</w:t>
      </w:r>
      <w:proofErr w:type="gramStart"/>
      <w:r w:rsidRPr="007E024A">
        <w:rPr>
          <w:rFonts w:ascii="仿宋" w:eastAsia="仿宋" w:hAnsi="仿宋" w:hint="eastAsia"/>
          <w:b/>
          <w:bCs/>
          <w:sz w:val="32"/>
          <w:szCs w:val="32"/>
        </w:rPr>
        <w:t>农成效</w:t>
      </w:r>
      <w:proofErr w:type="gramEnd"/>
      <w:r w:rsidRPr="007E024A">
        <w:rPr>
          <w:rFonts w:ascii="仿宋" w:eastAsia="仿宋" w:hAnsi="仿宋" w:hint="eastAsia"/>
          <w:b/>
          <w:bCs/>
          <w:sz w:val="32"/>
          <w:szCs w:val="32"/>
        </w:rPr>
        <w:t>显著</w:t>
      </w:r>
    </w:p>
    <w:p w:rsidR="007E024A" w:rsidRPr="001B5487" w:rsidRDefault="00045FB2" w:rsidP="001B5487">
      <w:pPr>
        <w:ind w:firstLineChars="200" w:firstLine="640"/>
        <w:rPr>
          <w:rFonts w:ascii="仿宋" w:eastAsia="仿宋" w:hAnsi="仿宋"/>
          <w:sz w:val="32"/>
          <w:szCs w:val="32"/>
        </w:rPr>
      </w:pPr>
      <w:r>
        <w:rPr>
          <w:rFonts w:ascii="仿宋" w:eastAsia="仿宋" w:hAnsi="仿宋" w:hint="eastAsia"/>
          <w:sz w:val="32"/>
          <w:szCs w:val="32"/>
        </w:rPr>
        <w:t>1-9月</w:t>
      </w:r>
      <w:r w:rsidR="007E024A" w:rsidRPr="001B5487">
        <w:rPr>
          <w:rFonts w:ascii="仿宋" w:eastAsia="仿宋" w:hAnsi="仿宋" w:hint="eastAsia"/>
          <w:sz w:val="32"/>
          <w:szCs w:val="32"/>
        </w:rPr>
        <w:t>，农险保费</w:t>
      </w:r>
      <w:r w:rsidR="000D2D63">
        <w:rPr>
          <w:rFonts w:ascii="仿宋" w:eastAsia="仿宋" w:hAnsi="仿宋" w:hint="eastAsia"/>
          <w:sz w:val="32"/>
          <w:szCs w:val="32"/>
        </w:rPr>
        <w:t>17170</w:t>
      </w:r>
      <w:r w:rsidR="007E024A" w:rsidRPr="001B5487">
        <w:rPr>
          <w:rFonts w:ascii="仿宋" w:eastAsia="仿宋" w:hAnsi="仿宋" w:hint="eastAsia"/>
          <w:sz w:val="32"/>
          <w:szCs w:val="32"/>
        </w:rPr>
        <w:t>万，增速31.</w:t>
      </w:r>
      <w:r w:rsidR="000D2D63">
        <w:rPr>
          <w:rFonts w:ascii="仿宋" w:eastAsia="仿宋" w:hAnsi="仿宋" w:hint="eastAsia"/>
          <w:sz w:val="32"/>
          <w:szCs w:val="32"/>
        </w:rPr>
        <w:t xml:space="preserve">6 </w:t>
      </w:r>
      <w:r w:rsidR="007E024A" w:rsidRPr="001B5487">
        <w:rPr>
          <w:rFonts w:ascii="仿宋" w:eastAsia="仿宋" w:hAnsi="仿宋" w:hint="eastAsia"/>
          <w:sz w:val="32"/>
          <w:szCs w:val="32"/>
        </w:rPr>
        <w:t>%</w:t>
      </w:r>
      <w:r w:rsidR="000D2D63">
        <w:rPr>
          <w:rFonts w:ascii="仿宋" w:eastAsia="仿宋" w:hAnsi="仿宋" w:hint="eastAsia"/>
          <w:sz w:val="32"/>
          <w:szCs w:val="32"/>
        </w:rPr>
        <w:t>,保费同比增加4123万元，</w:t>
      </w:r>
      <w:r w:rsidR="007E024A" w:rsidRPr="001B5487">
        <w:rPr>
          <w:rFonts w:ascii="仿宋" w:eastAsia="仿宋" w:hAnsi="仿宋" w:hint="eastAsia"/>
          <w:sz w:val="32"/>
          <w:szCs w:val="32"/>
        </w:rPr>
        <w:t>实现了农业保险</w:t>
      </w:r>
      <w:proofErr w:type="gramStart"/>
      <w:r w:rsidR="007E024A" w:rsidRPr="001B5487">
        <w:rPr>
          <w:rFonts w:ascii="仿宋" w:eastAsia="仿宋" w:hAnsi="仿宋" w:hint="eastAsia"/>
          <w:sz w:val="32"/>
          <w:szCs w:val="32"/>
        </w:rPr>
        <w:t>增品扩面</w:t>
      </w:r>
      <w:proofErr w:type="gramEnd"/>
      <w:r w:rsidR="000C2504">
        <w:rPr>
          <w:rFonts w:ascii="仿宋" w:eastAsia="仿宋" w:hAnsi="仿宋" w:hint="eastAsia"/>
          <w:sz w:val="32"/>
          <w:szCs w:val="32"/>
        </w:rPr>
        <w:t>，</w:t>
      </w:r>
      <w:r w:rsidR="007E024A" w:rsidRPr="001B5487">
        <w:rPr>
          <w:rFonts w:ascii="仿宋" w:eastAsia="仿宋" w:hAnsi="仿宋" w:hint="eastAsia"/>
          <w:sz w:val="32"/>
          <w:szCs w:val="32"/>
        </w:rPr>
        <w:t>为支持国家“乡村振兴”战略实施，为农业发展、农民增收、农村建设提供有效保障。</w:t>
      </w:r>
    </w:p>
    <w:p w:rsidR="007E024A" w:rsidRPr="007E024A" w:rsidRDefault="007E024A" w:rsidP="007E024A">
      <w:pPr>
        <w:ind w:left="645"/>
        <w:rPr>
          <w:rFonts w:ascii="仿宋" w:eastAsia="仿宋" w:hAnsi="仿宋"/>
          <w:b/>
          <w:sz w:val="32"/>
          <w:szCs w:val="32"/>
        </w:rPr>
      </w:pPr>
      <w:r w:rsidRPr="007E024A">
        <w:rPr>
          <w:rFonts w:ascii="仿宋" w:eastAsia="仿宋" w:hAnsi="仿宋" w:hint="eastAsia"/>
          <w:b/>
          <w:bCs/>
          <w:sz w:val="32"/>
          <w:szCs w:val="32"/>
        </w:rPr>
        <w:t>（</w:t>
      </w:r>
      <w:r w:rsidR="007616EC">
        <w:rPr>
          <w:rFonts w:ascii="仿宋" w:eastAsia="仿宋" w:hAnsi="仿宋" w:hint="eastAsia"/>
          <w:b/>
          <w:bCs/>
          <w:sz w:val="32"/>
          <w:szCs w:val="32"/>
        </w:rPr>
        <w:t>四</w:t>
      </w:r>
      <w:r w:rsidRPr="007E024A">
        <w:rPr>
          <w:rFonts w:ascii="仿宋" w:eastAsia="仿宋" w:hAnsi="仿宋" w:hint="eastAsia"/>
          <w:b/>
          <w:bCs/>
          <w:sz w:val="32"/>
          <w:szCs w:val="32"/>
        </w:rPr>
        <w:t>）盈利能力持续提升</w:t>
      </w:r>
    </w:p>
    <w:p w:rsidR="007E024A" w:rsidRDefault="00045FB2" w:rsidP="001B5487">
      <w:pPr>
        <w:ind w:firstLineChars="200" w:firstLine="640"/>
        <w:rPr>
          <w:rFonts w:ascii="仿宋" w:eastAsia="仿宋" w:hAnsi="仿宋"/>
          <w:sz w:val="32"/>
          <w:szCs w:val="32"/>
        </w:rPr>
      </w:pPr>
      <w:r>
        <w:rPr>
          <w:rFonts w:ascii="仿宋" w:eastAsia="仿宋" w:hAnsi="仿宋" w:hint="eastAsia"/>
          <w:sz w:val="32"/>
          <w:szCs w:val="32"/>
        </w:rPr>
        <w:t>9月末</w:t>
      </w:r>
      <w:r w:rsidR="007E024A" w:rsidRPr="001B5487">
        <w:rPr>
          <w:rFonts w:ascii="仿宋" w:eastAsia="仿宋" w:hAnsi="仿宋" w:hint="eastAsia"/>
          <w:sz w:val="32"/>
          <w:szCs w:val="32"/>
        </w:rPr>
        <w:t>，行业综合成本率</w:t>
      </w:r>
      <w:r w:rsidR="000C2504">
        <w:rPr>
          <w:rFonts w:ascii="仿宋" w:eastAsia="仿宋" w:hAnsi="仿宋" w:hint="eastAsia"/>
          <w:sz w:val="32"/>
          <w:szCs w:val="32"/>
        </w:rPr>
        <w:t>94.93</w:t>
      </w:r>
      <w:r w:rsidR="007E024A" w:rsidRPr="001B5487">
        <w:rPr>
          <w:rFonts w:ascii="仿宋" w:eastAsia="仿宋" w:hAnsi="仿宋" w:hint="eastAsia"/>
          <w:sz w:val="32"/>
          <w:szCs w:val="32"/>
        </w:rPr>
        <w:t>%，</w:t>
      </w:r>
      <w:proofErr w:type="gramStart"/>
      <w:r w:rsidR="007E024A" w:rsidRPr="001B5487">
        <w:rPr>
          <w:rFonts w:ascii="仿宋" w:eastAsia="仿宋" w:hAnsi="仿宋" w:hint="eastAsia"/>
          <w:sz w:val="32"/>
          <w:szCs w:val="32"/>
        </w:rPr>
        <w:t>优于省</w:t>
      </w:r>
      <w:proofErr w:type="gramEnd"/>
      <w:r w:rsidR="007E024A" w:rsidRPr="001B5487">
        <w:rPr>
          <w:rFonts w:ascii="仿宋" w:eastAsia="仿宋" w:hAnsi="仿宋" w:hint="eastAsia"/>
          <w:sz w:val="32"/>
          <w:szCs w:val="32"/>
        </w:rPr>
        <w:t>均</w:t>
      </w:r>
      <w:r w:rsidR="000C2504">
        <w:rPr>
          <w:rFonts w:ascii="仿宋" w:eastAsia="仿宋" w:hAnsi="仿宋" w:hint="eastAsia"/>
          <w:sz w:val="32"/>
          <w:szCs w:val="32"/>
        </w:rPr>
        <w:t>7.04</w:t>
      </w:r>
      <w:r w:rsidR="007E024A" w:rsidRPr="001B5487">
        <w:rPr>
          <w:rFonts w:ascii="仿宋" w:eastAsia="仿宋" w:hAnsi="仿宋" w:hint="eastAsia"/>
          <w:sz w:val="32"/>
          <w:szCs w:val="32"/>
        </w:rPr>
        <w:t>个百分点，车险、农险</w:t>
      </w:r>
      <w:r w:rsidR="000C2504">
        <w:rPr>
          <w:rFonts w:ascii="仿宋" w:eastAsia="仿宋" w:hAnsi="仿宋" w:hint="eastAsia"/>
          <w:sz w:val="32"/>
          <w:szCs w:val="32"/>
        </w:rPr>
        <w:t>是盈利主要险种，</w:t>
      </w:r>
      <w:proofErr w:type="gramStart"/>
      <w:r w:rsidR="007E024A" w:rsidRPr="001B5487">
        <w:rPr>
          <w:rFonts w:ascii="仿宋" w:eastAsia="仿宋" w:hAnsi="仿宋" w:hint="eastAsia"/>
          <w:sz w:val="32"/>
          <w:szCs w:val="32"/>
        </w:rPr>
        <w:t>商非</w:t>
      </w:r>
      <w:r w:rsidR="000C2504">
        <w:rPr>
          <w:rFonts w:ascii="仿宋" w:eastAsia="仿宋" w:hAnsi="仿宋" w:hint="eastAsia"/>
          <w:sz w:val="32"/>
          <w:szCs w:val="32"/>
        </w:rPr>
        <w:t>业务</w:t>
      </w:r>
      <w:proofErr w:type="gramEnd"/>
      <w:r w:rsidR="000C2504">
        <w:rPr>
          <w:rFonts w:ascii="仿宋" w:eastAsia="仿宋" w:hAnsi="仿宋" w:hint="eastAsia"/>
          <w:sz w:val="32"/>
          <w:szCs w:val="32"/>
        </w:rPr>
        <w:t>因中华联合的保证</w:t>
      </w:r>
      <w:proofErr w:type="gramStart"/>
      <w:r w:rsidR="000C2504">
        <w:rPr>
          <w:rFonts w:ascii="仿宋" w:eastAsia="仿宋" w:hAnsi="仿宋" w:hint="eastAsia"/>
          <w:sz w:val="32"/>
          <w:szCs w:val="32"/>
        </w:rPr>
        <w:t>险亏损</w:t>
      </w:r>
      <w:proofErr w:type="gramEnd"/>
      <w:r w:rsidR="000C2504">
        <w:rPr>
          <w:rFonts w:ascii="仿宋" w:eastAsia="仿宋" w:hAnsi="仿宋" w:hint="eastAsia"/>
          <w:sz w:val="32"/>
          <w:szCs w:val="32"/>
        </w:rPr>
        <w:t>严重，导致</w:t>
      </w:r>
      <w:proofErr w:type="gramStart"/>
      <w:r w:rsidR="000C2504">
        <w:rPr>
          <w:rFonts w:ascii="仿宋" w:eastAsia="仿宋" w:hAnsi="仿宋" w:hint="eastAsia"/>
          <w:sz w:val="32"/>
          <w:szCs w:val="32"/>
        </w:rPr>
        <w:t>行业商非亏损</w:t>
      </w:r>
      <w:proofErr w:type="gramEnd"/>
      <w:r w:rsidR="000C2504">
        <w:rPr>
          <w:rFonts w:ascii="仿宋" w:eastAsia="仿宋" w:hAnsi="仿宋" w:hint="eastAsia"/>
          <w:sz w:val="32"/>
          <w:szCs w:val="32"/>
        </w:rPr>
        <w:t>。</w:t>
      </w:r>
    </w:p>
    <w:p w:rsidR="009823D0" w:rsidRDefault="007E024A" w:rsidP="007E024A">
      <w:pPr>
        <w:ind w:left="645"/>
        <w:rPr>
          <w:rFonts w:ascii="仿宋" w:eastAsia="仿宋" w:hAnsi="仿宋"/>
          <w:b/>
          <w:bCs/>
          <w:sz w:val="32"/>
          <w:szCs w:val="32"/>
        </w:rPr>
      </w:pPr>
      <w:r w:rsidRPr="007E024A">
        <w:rPr>
          <w:rFonts w:ascii="仿宋" w:eastAsia="仿宋" w:hAnsi="仿宋" w:hint="eastAsia"/>
          <w:b/>
          <w:bCs/>
          <w:sz w:val="32"/>
          <w:szCs w:val="32"/>
        </w:rPr>
        <w:t>（</w:t>
      </w:r>
      <w:r w:rsidR="007616EC">
        <w:rPr>
          <w:rFonts w:ascii="仿宋" w:eastAsia="仿宋" w:hAnsi="仿宋" w:hint="eastAsia"/>
          <w:b/>
          <w:bCs/>
          <w:sz w:val="32"/>
          <w:szCs w:val="32"/>
        </w:rPr>
        <w:t>五</w:t>
      </w:r>
      <w:r w:rsidRPr="007E024A">
        <w:rPr>
          <w:rFonts w:ascii="仿宋" w:eastAsia="仿宋" w:hAnsi="仿宋" w:hint="eastAsia"/>
          <w:b/>
          <w:bCs/>
          <w:sz w:val="32"/>
          <w:szCs w:val="32"/>
        </w:rPr>
        <w:t>）</w:t>
      </w:r>
      <w:r w:rsidR="009823D0">
        <w:rPr>
          <w:rFonts w:ascii="仿宋" w:eastAsia="仿宋" w:hAnsi="仿宋" w:hint="eastAsia"/>
          <w:b/>
          <w:bCs/>
          <w:sz w:val="32"/>
          <w:szCs w:val="32"/>
        </w:rPr>
        <w:t>费用率居高不下</w:t>
      </w:r>
    </w:p>
    <w:p w:rsidR="009823D0" w:rsidRPr="002C083C" w:rsidRDefault="009823D0" w:rsidP="002C083C">
      <w:pPr>
        <w:ind w:firstLineChars="200" w:firstLine="640"/>
        <w:rPr>
          <w:rFonts w:ascii="仿宋" w:eastAsia="仿宋" w:hAnsi="仿宋"/>
          <w:bCs/>
          <w:sz w:val="32"/>
          <w:szCs w:val="32"/>
        </w:rPr>
      </w:pPr>
      <w:r w:rsidRPr="002C083C">
        <w:rPr>
          <w:rFonts w:ascii="仿宋" w:eastAsia="仿宋" w:hAnsi="仿宋" w:hint="eastAsia"/>
          <w:bCs/>
          <w:sz w:val="32"/>
          <w:szCs w:val="32"/>
        </w:rPr>
        <w:t>今年以来，受车险市场竞争影响，行业费用一直居高不下。截止9月末，丹东行业综合费用率38%，同比上升2.82个</w:t>
      </w:r>
      <w:r w:rsidRPr="002C083C">
        <w:rPr>
          <w:rFonts w:ascii="仿宋" w:eastAsia="仿宋" w:hAnsi="仿宋" w:hint="eastAsia"/>
          <w:sz w:val="32"/>
          <w:szCs w:val="32"/>
        </w:rPr>
        <w:t>百分点，其中车险费用率44.5%，同比提升8.04个百分点，商业车险费用率</w:t>
      </w:r>
      <w:r w:rsidR="002C083C" w:rsidRPr="002C083C">
        <w:rPr>
          <w:rFonts w:ascii="仿宋" w:eastAsia="仿宋" w:hAnsi="仿宋" w:hint="eastAsia"/>
          <w:sz w:val="32"/>
          <w:szCs w:val="32"/>
        </w:rPr>
        <w:t>高达</w:t>
      </w:r>
      <w:r w:rsidRPr="002C083C">
        <w:rPr>
          <w:rFonts w:ascii="仿宋" w:eastAsia="仿宋" w:hAnsi="仿宋" w:hint="eastAsia"/>
          <w:sz w:val="32"/>
          <w:szCs w:val="32"/>
        </w:rPr>
        <w:t>50.33%，</w:t>
      </w:r>
      <w:r w:rsidR="002C083C" w:rsidRPr="002C083C">
        <w:rPr>
          <w:rFonts w:ascii="仿宋" w:eastAsia="仿宋" w:hAnsi="仿宋" w:hint="eastAsia"/>
          <w:sz w:val="32"/>
          <w:szCs w:val="32"/>
        </w:rPr>
        <w:t>同比上升8.13个百分点。</w:t>
      </w:r>
    </w:p>
    <w:p w:rsidR="007E024A" w:rsidRPr="007E024A" w:rsidRDefault="002C083C" w:rsidP="007E024A">
      <w:pPr>
        <w:ind w:left="645"/>
        <w:rPr>
          <w:rFonts w:ascii="仿宋" w:eastAsia="仿宋" w:hAnsi="仿宋"/>
          <w:b/>
          <w:sz w:val="32"/>
          <w:szCs w:val="32"/>
        </w:rPr>
      </w:pPr>
      <w:r>
        <w:rPr>
          <w:rFonts w:ascii="仿宋" w:eastAsia="仿宋" w:hAnsi="仿宋" w:hint="eastAsia"/>
          <w:b/>
          <w:bCs/>
          <w:sz w:val="32"/>
          <w:szCs w:val="32"/>
        </w:rPr>
        <w:t>（</w:t>
      </w:r>
      <w:r w:rsidR="001F45CB">
        <w:rPr>
          <w:rFonts w:ascii="仿宋" w:eastAsia="仿宋" w:hAnsi="仿宋" w:hint="eastAsia"/>
          <w:b/>
          <w:bCs/>
          <w:sz w:val="32"/>
          <w:szCs w:val="32"/>
        </w:rPr>
        <w:t>六</w:t>
      </w:r>
      <w:r>
        <w:rPr>
          <w:rFonts w:ascii="仿宋" w:eastAsia="仿宋" w:hAnsi="仿宋" w:hint="eastAsia"/>
          <w:b/>
          <w:bCs/>
          <w:sz w:val="32"/>
          <w:szCs w:val="32"/>
        </w:rPr>
        <w:t>）线上化服务水平进一步提升</w:t>
      </w:r>
    </w:p>
    <w:p w:rsidR="007E024A" w:rsidRDefault="002C083C" w:rsidP="001B5487">
      <w:pPr>
        <w:ind w:firstLineChars="200" w:firstLine="640"/>
        <w:rPr>
          <w:rFonts w:ascii="仿宋" w:eastAsia="仿宋" w:hAnsi="仿宋"/>
          <w:sz w:val="32"/>
          <w:szCs w:val="32"/>
        </w:rPr>
      </w:pPr>
      <w:r>
        <w:rPr>
          <w:rFonts w:ascii="仿宋" w:eastAsia="仿宋" w:hAnsi="仿宋" w:hint="eastAsia"/>
          <w:sz w:val="32"/>
          <w:szCs w:val="32"/>
        </w:rPr>
        <w:lastRenderedPageBreak/>
        <w:t>今年以来，</w:t>
      </w:r>
      <w:r w:rsidR="007E024A" w:rsidRPr="001B5487">
        <w:rPr>
          <w:rFonts w:ascii="仿宋" w:eastAsia="仿宋" w:hAnsi="仿宋" w:hint="eastAsia"/>
          <w:sz w:val="32"/>
          <w:szCs w:val="32"/>
        </w:rPr>
        <w:t>各财险机构</w:t>
      </w:r>
      <w:r>
        <w:rPr>
          <w:rFonts w:ascii="仿宋" w:eastAsia="仿宋" w:hAnsi="仿宋" w:hint="eastAsia"/>
          <w:sz w:val="32"/>
          <w:szCs w:val="32"/>
        </w:rPr>
        <w:t>为做好客户</w:t>
      </w:r>
      <w:r w:rsidRPr="001B5487">
        <w:rPr>
          <w:rFonts w:ascii="仿宋" w:eastAsia="仿宋" w:hAnsi="仿宋" w:hint="eastAsia"/>
          <w:sz w:val="32"/>
          <w:szCs w:val="32"/>
        </w:rPr>
        <w:t>疫情防控，</w:t>
      </w:r>
      <w:r w:rsidR="007E024A" w:rsidRPr="001B5487">
        <w:rPr>
          <w:rFonts w:ascii="仿宋" w:eastAsia="仿宋" w:hAnsi="仿宋" w:hint="eastAsia"/>
          <w:sz w:val="32"/>
          <w:szCs w:val="32"/>
        </w:rPr>
        <w:t>积极落实金融扶持政策，在“在线投保、自助理赔”上发力。一是引导销售队伍通过线上平台办理业务，借助线上平台完成在线投保，保障疫情期间各项业务正常开展；二是进一步简化理赔程序，增加线上理赔，通过保险APP、客服电话、</w:t>
      </w:r>
      <w:proofErr w:type="gramStart"/>
      <w:r w:rsidR="007E024A" w:rsidRPr="001B5487">
        <w:rPr>
          <w:rFonts w:ascii="仿宋" w:eastAsia="仿宋" w:hAnsi="仿宋" w:hint="eastAsia"/>
          <w:sz w:val="32"/>
          <w:szCs w:val="32"/>
        </w:rPr>
        <w:t>微信服务</w:t>
      </w:r>
      <w:proofErr w:type="gramEnd"/>
      <w:r w:rsidR="007E024A" w:rsidRPr="001B5487">
        <w:rPr>
          <w:rFonts w:ascii="仿宋" w:eastAsia="仿宋" w:hAnsi="仿宋" w:hint="eastAsia"/>
          <w:sz w:val="32"/>
          <w:szCs w:val="32"/>
        </w:rPr>
        <w:t>等全天候提供保险服务。</w:t>
      </w:r>
    </w:p>
    <w:p w:rsidR="00F836E1" w:rsidRPr="005F663B" w:rsidRDefault="00F836E1" w:rsidP="00F836E1">
      <w:pPr>
        <w:pStyle w:val="a3"/>
        <w:numPr>
          <w:ilvl w:val="0"/>
          <w:numId w:val="5"/>
        </w:numPr>
        <w:ind w:firstLineChars="0"/>
        <w:rPr>
          <w:rFonts w:ascii="仿宋" w:eastAsia="仿宋" w:hAnsi="仿宋"/>
          <w:b/>
          <w:sz w:val="32"/>
          <w:szCs w:val="32"/>
        </w:rPr>
      </w:pPr>
      <w:r w:rsidRPr="005F663B">
        <w:rPr>
          <w:rFonts w:ascii="仿宋" w:eastAsia="仿宋" w:hAnsi="仿宋" w:hint="eastAsia"/>
          <w:b/>
          <w:sz w:val="32"/>
          <w:szCs w:val="32"/>
        </w:rPr>
        <w:t>车险自律提示</w:t>
      </w:r>
    </w:p>
    <w:p w:rsidR="00F836E1" w:rsidRPr="00F836E1" w:rsidRDefault="00F836E1" w:rsidP="00F836E1">
      <w:pPr>
        <w:ind w:firstLine="645"/>
        <w:rPr>
          <w:rFonts w:ascii="仿宋" w:eastAsia="仿宋" w:hAnsi="仿宋" w:cs="仿宋_GB2312"/>
          <w:color w:val="000000" w:themeColor="text1"/>
          <w:sz w:val="32"/>
          <w:szCs w:val="32"/>
          <w:lang w:val="zh-CN"/>
        </w:rPr>
      </w:pPr>
      <w:r>
        <w:rPr>
          <w:rFonts w:ascii="仿宋_GB2312" w:eastAsia="仿宋_GB2312" w:cs="仿宋_GB2312" w:hint="eastAsia"/>
          <w:color w:val="000000" w:themeColor="text1"/>
          <w:sz w:val="32"/>
          <w:szCs w:val="32"/>
          <w:lang w:val="zh-CN"/>
        </w:rPr>
        <w:t>为了持续维护</w:t>
      </w:r>
      <w:r w:rsidRPr="00BC7237">
        <w:rPr>
          <w:rFonts w:ascii="仿宋_GB2312" w:eastAsia="仿宋_GB2312" w:cs="仿宋_GB2312" w:hint="eastAsia"/>
          <w:color w:val="000000" w:themeColor="text1"/>
          <w:sz w:val="32"/>
          <w:szCs w:val="32"/>
          <w:lang w:val="zh-CN"/>
        </w:rPr>
        <w:t>车</w:t>
      </w:r>
      <w:r>
        <w:rPr>
          <w:rFonts w:ascii="仿宋_GB2312" w:eastAsia="仿宋_GB2312" w:cs="仿宋_GB2312" w:hint="eastAsia"/>
          <w:color w:val="000000" w:themeColor="text1"/>
          <w:sz w:val="32"/>
          <w:szCs w:val="32"/>
          <w:lang w:val="zh-CN"/>
        </w:rPr>
        <w:t>险市场的稳定</w:t>
      </w:r>
      <w:r w:rsidRPr="00BC7237">
        <w:rPr>
          <w:rFonts w:ascii="仿宋_GB2312" w:eastAsia="仿宋_GB2312" w:cs="仿宋_GB2312" w:hint="eastAsia"/>
          <w:color w:val="000000" w:themeColor="text1"/>
          <w:sz w:val="32"/>
          <w:szCs w:val="32"/>
          <w:lang w:val="zh-CN"/>
        </w:rPr>
        <w:t>，</w:t>
      </w:r>
      <w:r>
        <w:rPr>
          <w:rFonts w:ascii="仿宋_GB2312" w:eastAsia="仿宋_GB2312" w:cs="仿宋_GB2312" w:hint="eastAsia"/>
          <w:color w:val="000000" w:themeColor="text1"/>
          <w:sz w:val="32"/>
          <w:szCs w:val="32"/>
          <w:lang w:val="zh-CN"/>
        </w:rPr>
        <w:t>根据辽宁省银保监</w:t>
      </w:r>
      <w:proofErr w:type="gramStart"/>
      <w:r>
        <w:rPr>
          <w:rFonts w:ascii="仿宋_GB2312" w:eastAsia="仿宋_GB2312" w:cs="仿宋_GB2312" w:hint="eastAsia"/>
          <w:color w:val="000000" w:themeColor="text1"/>
          <w:sz w:val="32"/>
          <w:szCs w:val="32"/>
          <w:lang w:val="zh-CN"/>
        </w:rPr>
        <w:t>局相关</w:t>
      </w:r>
      <w:proofErr w:type="gramEnd"/>
      <w:r>
        <w:rPr>
          <w:rFonts w:ascii="仿宋_GB2312" w:eastAsia="仿宋_GB2312" w:cs="仿宋_GB2312" w:hint="eastAsia"/>
          <w:color w:val="000000" w:themeColor="text1"/>
          <w:sz w:val="32"/>
          <w:szCs w:val="32"/>
          <w:lang w:val="zh-CN"/>
        </w:rPr>
        <w:t>监管要求，</w:t>
      </w:r>
      <w:proofErr w:type="gramStart"/>
      <w:r>
        <w:rPr>
          <w:rFonts w:ascii="仿宋" w:eastAsia="仿宋" w:hAnsi="仿宋" w:hint="eastAsia"/>
          <w:sz w:val="32"/>
          <w:szCs w:val="32"/>
        </w:rPr>
        <w:t>省协会</w:t>
      </w:r>
      <w:proofErr w:type="gramEnd"/>
      <w:r>
        <w:rPr>
          <w:rFonts w:ascii="仿宋" w:eastAsia="仿宋" w:hAnsi="仿宋" w:hint="eastAsia"/>
          <w:sz w:val="32"/>
          <w:szCs w:val="32"/>
        </w:rPr>
        <w:t>先后制定了</w:t>
      </w:r>
      <w:r w:rsidR="00703FBF">
        <w:rPr>
          <w:rFonts w:ascii="仿宋" w:eastAsia="仿宋" w:hAnsi="仿宋" w:hint="eastAsia"/>
          <w:sz w:val="32"/>
          <w:szCs w:val="32"/>
        </w:rPr>
        <w:t>下发了</w:t>
      </w:r>
      <w:r>
        <w:rPr>
          <w:rFonts w:ascii="仿宋" w:eastAsia="仿宋" w:hAnsi="仿宋" w:hint="eastAsia"/>
          <w:sz w:val="32"/>
          <w:szCs w:val="32"/>
        </w:rPr>
        <w:t>《</w:t>
      </w:r>
      <w:r w:rsidRPr="00F836E1">
        <w:rPr>
          <w:rFonts w:ascii="仿宋" w:eastAsia="仿宋" w:hAnsi="仿宋" w:hint="eastAsia"/>
          <w:sz w:val="32"/>
          <w:szCs w:val="32"/>
        </w:rPr>
        <w:t>车险综合改革实施后行业自律规则</w:t>
      </w:r>
      <w:r>
        <w:rPr>
          <w:rFonts w:ascii="仿宋" w:eastAsia="仿宋" w:hAnsi="仿宋" w:hint="eastAsia"/>
          <w:sz w:val="32"/>
          <w:szCs w:val="32"/>
        </w:rPr>
        <w:t>》、《</w:t>
      </w:r>
      <w:r w:rsidRPr="00F836E1">
        <w:rPr>
          <w:rFonts w:ascii="仿宋" w:eastAsia="仿宋" w:hAnsi="仿宋" w:hint="eastAsia"/>
          <w:sz w:val="32"/>
          <w:szCs w:val="32"/>
        </w:rPr>
        <w:t>商业车险自主系数均值监测评价规则补充规定</w:t>
      </w:r>
      <w:r>
        <w:rPr>
          <w:rFonts w:ascii="仿宋" w:eastAsia="仿宋" w:hAnsi="仿宋" w:hint="eastAsia"/>
          <w:sz w:val="32"/>
          <w:szCs w:val="32"/>
        </w:rPr>
        <w:t>》、《</w:t>
      </w:r>
      <w:r w:rsidRPr="00F836E1">
        <w:rPr>
          <w:rFonts w:ascii="仿宋" w:eastAsia="仿宋" w:hAnsi="仿宋" w:hint="eastAsia"/>
          <w:sz w:val="32"/>
          <w:szCs w:val="32"/>
        </w:rPr>
        <w:t>商业车险自主系数均值监测评价规则（第二个监测月10.19-11.18）</w:t>
      </w:r>
      <w:r>
        <w:rPr>
          <w:rFonts w:ascii="仿宋" w:eastAsia="仿宋" w:hAnsi="仿宋" w:hint="eastAsia"/>
          <w:sz w:val="32"/>
          <w:szCs w:val="32"/>
        </w:rPr>
        <w:t>》</w:t>
      </w:r>
      <w:r w:rsidR="00703FBF">
        <w:rPr>
          <w:rFonts w:ascii="仿宋" w:eastAsia="仿宋" w:hAnsi="仿宋" w:hint="eastAsia"/>
          <w:sz w:val="32"/>
          <w:szCs w:val="32"/>
        </w:rPr>
        <w:t>等三个费改后自律规则。同时，</w:t>
      </w:r>
      <w:r>
        <w:rPr>
          <w:rFonts w:ascii="仿宋" w:eastAsia="仿宋" w:hAnsi="仿宋" w:hint="eastAsia"/>
          <w:sz w:val="32"/>
          <w:szCs w:val="32"/>
        </w:rPr>
        <w:t>省协会实施24小时不间断数据监测，根据</w:t>
      </w:r>
      <w:r w:rsidRPr="00BC7237">
        <w:rPr>
          <w:rFonts w:ascii="仿宋_GB2312" w:eastAsia="仿宋_GB2312" w:cs="仿宋_GB2312" w:hint="eastAsia"/>
          <w:color w:val="000000" w:themeColor="text1"/>
          <w:sz w:val="32"/>
          <w:szCs w:val="32"/>
          <w:lang w:val="zh-CN"/>
        </w:rPr>
        <w:t>车险综合改革实施后行业自律</w:t>
      </w:r>
      <w:r w:rsidR="00703FBF">
        <w:rPr>
          <w:rFonts w:ascii="仿宋_GB2312" w:eastAsia="仿宋_GB2312" w:cs="仿宋_GB2312" w:hint="eastAsia"/>
          <w:color w:val="000000" w:themeColor="text1"/>
          <w:sz w:val="32"/>
          <w:szCs w:val="32"/>
          <w:lang w:val="zh-CN"/>
        </w:rPr>
        <w:t>执行</w:t>
      </w:r>
      <w:r>
        <w:rPr>
          <w:rFonts w:ascii="仿宋_GB2312" w:eastAsia="仿宋_GB2312" w:cs="仿宋_GB2312" w:hint="eastAsia"/>
          <w:color w:val="000000" w:themeColor="text1"/>
          <w:sz w:val="32"/>
          <w:szCs w:val="32"/>
          <w:lang w:val="zh-CN"/>
        </w:rPr>
        <w:t>情况，省协会先后下发</w:t>
      </w:r>
      <w:r w:rsidR="00DD4272">
        <w:rPr>
          <w:rFonts w:ascii="仿宋_GB2312" w:eastAsia="仿宋_GB2312" w:cs="仿宋_GB2312" w:hint="eastAsia"/>
          <w:color w:val="000000" w:themeColor="text1"/>
          <w:sz w:val="32"/>
          <w:szCs w:val="32"/>
          <w:lang w:val="zh-CN"/>
        </w:rPr>
        <w:t>2</w:t>
      </w:r>
      <w:r w:rsidR="00054024">
        <w:rPr>
          <w:rFonts w:ascii="仿宋_GB2312" w:eastAsia="仿宋_GB2312" w:cs="仿宋_GB2312" w:hint="eastAsia"/>
          <w:color w:val="000000" w:themeColor="text1"/>
          <w:sz w:val="32"/>
          <w:szCs w:val="32"/>
          <w:lang w:val="zh-CN"/>
        </w:rPr>
        <w:t>3</w:t>
      </w:r>
      <w:r>
        <w:rPr>
          <w:rFonts w:ascii="仿宋_GB2312" w:eastAsia="仿宋_GB2312" w:cs="仿宋_GB2312" w:hint="eastAsia"/>
          <w:color w:val="000000" w:themeColor="text1"/>
          <w:sz w:val="32"/>
          <w:szCs w:val="32"/>
          <w:lang w:val="zh-CN"/>
        </w:rPr>
        <w:t>次自律通知，</w:t>
      </w:r>
      <w:r w:rsidRPr="00F836E1">
        <w:rPr>
          <w:rFonts w:ascii="仿宋" w:eastAsia="仿宋" w:hAnsi="仿宋" w:cs="仿宋_GB2312" w:hint="eastAsia"/>
          <w:color w:val="000000" w:themeColor="text1"/>
          <w:sz w:val="32"/>
          <w:szCs w:val="32"/>
          <w:lang w:val="zh-CN"/>
        </w:rPr>
        <w:t>分别对</w:t>
      </w:r>
      <w:r w:rsidR="00DD06F0" w:rsidRPr="00DF7EF9">
        <w:rPr>
          <w:rFonts w:ascii="仿宋" w:eastAsia="仿宋" w:hAnsi="仿宋" w:hint="eastAsia"/>
          <w:sz w:val="32"/>
          <w:szCs w:val="32"/>
        </w:rPr>
        <w:t>阳光、太平、安华、浙商、富邦、大地、天安、亚太、大家、英大、永诚</w:t>
      </w:r>
      <w:r w:rsidR="00DF7EF9">
        <w:rPr>
          <w:rFonts w:ascii="仿宋" w:eastAsia="仿宋" w:hAnsi="仿宋" w:cs="仿宋_GB2312" w:hint="eastAsia"/>
          <w:color w:val="000000" w:themeColor="text1"/>
          <w:sz w:val="32"/>
          <w:szCs w:val="32"/>
          <w:lang w:val="zh-CN"/>
        </w:rPr>
        <w:t>等1</w:t>
      </w:r>
      <w:r w:rsidRPr="00F836E1">
        <w:rPr>
          <w:rFonts w:ascii="仿宋" w:eastAsia="仿宋" w:hAnsi="仿宋" w:cs="仿宋_GB2312" w:hint="eastAsia"/>
          <w:color w:val="000000" w:themeColor="text1"/>
          <w:sz w:val="32"/>
          <w:szCs w:val="32"/>
          <w:lang w:val="zh-CN"/>
        </w:rPr>
        <w:t>1家旧车转保连续7日、</w:t>
      </w:r>
      <w:r w:rsidR="00DF7EF9">
        <w:rPr>
          <w:rFonts w:ascii="仿宋" w:eastAsia="仿宋" w:hAnsi="仿宋" w:cs="仿宋_GB2312" w:hint="eastAsia"/>
          <w:color w:val="000000" w:themeColor="text1"/>
          <w:sz w:val="32"/>
          <w:szCs w:val="32"/>
          <w:lang w:val="zh-CN"/>
        </w:rPr>
        <w:t>或</w:t>
      </w:r>
      <w:r w:rsidRPr="00F836E1">
        <w:rPr>
          <w:rFonts w:ascii="仿宋" w:eastAsia="仿宋" w:hAnsi="仿宋" w:cs="仿宋_GB2312" w:hint="eastAsia"/>
          <w:color w:val="000000" w:themeColor="text1"/>
          <w:sz w:val="32"/>
          <w:szCs w:val="32"/>
          <w:lang w:val="zh-CN"/>
        </w:rPr>
        <w:t>新车连续7日超报备标准违规的财险公司省市县三级机构进行自律惩戒，直至其自主系数达到报备标准</w:t>
      </w:r>
      <w:r w:rsidR="005F663B">
        <w:rPr>
          <w:rFonts w:ascii="仿宋" w:eastAsia="仿宋" w:hAnsi="仿宋" w:cs="仿宋_GB2312" w:hint="eastAsia"/>
          <w:color w:val="000000" w:themeColor="text1"/>
          <w:sz w:val="32"/>
          <w:szCs w:val="32"/>
          <w:lang w:val="zh-CN"/>
        </w:rPr>
        <w:t>方可</w:t>
      </w:r>
      <w:r w:rsidRPr="00F836E1">
        <w:rPr>
          <w:rFonts w:ascii="仿宋" w:eastAsia="仿宋" w:hAnsi="仿宋" w:cs="仿宋_GB2312" w:hint="eastAsia"/>
          <w:color w:val="000000" w:themeColor="text1"/>
          <w:sz w:val="32"/>
          <w:szCs w:val="32"/>
          <w:lang w:val="zh-CN"/>
        </w:rPr>
        <w:t>解除惩戒。</w:t>
      </w:r>
    </w:p>
    <w:p w:rsidR="00F836E1" w:rsidRPr="00F836E1" w:rsidRDefault="005F663B" w:rsidP="00F836E1">
      <w:pPr>
        <w:ind w:firstLineChars="200" w:firstLine="640"/>
        <w:rPr>
          <w:rFonts w:ascii="仿宋" w:eastAsia="仿宋" w:hAnsi="仿宋"/>
          <w:sz w:val="32"/>
          <w:szCs w:val="32"/>
        </w:rPr>
      </w:pPr>
      <w:r>
        <w:rPr>
          <w:rFonts w:ascii="仿宋" w:eastAsia="仿宋" w:hAnsi="仿宋"/>
          <w:sz w:val="32"/>
          <w:szCs w:val="32"/>
        </w:rPr>
        <w:t>请各财险公司提升合规意识</w:t>
      </w:r>
      <w:r>
        <w:rPr>
          <w:rFonts w:ascii="仿宋" w:eastAsia="仿宋" w:hAnsi="仿宋" w:hint="eastAsia"/>
          <w:sz w:val="32"/>
          <w:szCs w:val="32"/>
        </w:rPr>
        <w:t>，</w:t>
      </w:r>
      <w:r>
        <w:rPr>
          <w:rFonts w:ascii="仿宋" w:eastAsia="仿宋" w:hAnsi="仿宋"/>
          <w:sz w:val="32"/>
          <w:szCs w:val="32"/>
        </w:rPr>
        <w:t>进一步加强自律管理</w:t>
      </w:r>
      <w:r>
        <w:rPr>
          <w:rFonts w:ascii="仿宋" w:eastAsia="仿宋" w:hAnsi="仿宋" w:hint="eastAsia"/>
          <w:sz w:val="32"/>
          <w:szCs w:val="32"/>
        </w:rPr>
        <w:t>，</w:t>
      </w:r>
      <w:r>
        <w:rPr>
          <w:rFonts w:ascii="仿宋" w:eastAsia="仿宋" w:hAnsi="仿宋"/>
          <w:sz w:val="32"/>
          <w:szCs w:val="32"/>
        </w:rPr>
        <w:t>确保丹东车险市场</w:t>
      </w:r>
      <w:r>
        <w:rPr>
          <w:rFonts w:ascii="仿宋" w:eastAsia="仿宋" w:hAnsi="仿宋" w:hint="eastAsia"/>
          <w:sz w:val="32"/>
          <w:szCs w:val="32"/>
        </w:rPr>
        <w:t>稳定</w:t>
      </w:r>
      <w:r>
        <w:rPr>
          <w:rFonts w:ascii="仿宋" w:eastAsia="仿宋" w:hAnsi="仿宋"/>
          <w:sz w:val="32"/>
          <w:szCs w:val="32"/>
        </w:rPr>
        <w:t>健康发展</w:t>
      </w:r>
      <w:r>
        <w:rPr>
          <w:rFonts w:ascii="仿宋" w:eastAsia="仿宋" w:hAnsi="仿宋" w:hint="eastAsia"/>
          <w:sz w:val="32"/>
          <w:szCs w:val="32"/>
        </w:rPr>
        <w:t>。</w:t>
      </w:r>
    </w:p>
    <w:sectPr w:rsidR="00F836E1" w:rsidRPr="00F836E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564" w:rsidRDefault="00933564" w:rsidP="00605B0F">
      <w:r>
        <w:separator/>
      </w:r>
    </w:p>
  </w:endnote>
  <w:endnote w:type="continuationSeparator" w:id="0">
    <w:p w:rsidR="00933564" w:rsidRDefault="00933564" w:rsidP="00605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564" w:rsidRDefault="00933564" w:rsidP="00605B0F">
      <w:r>
        <w:separator/>
      </w:r>
    </w:p>
  </w:footnote>
  <w:footnote w:type="continuationSeparator" w:id="0">
    <w:p w:rsidR="00933564" w:rsidRDefault="00933564" w:rsidP="00605B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617AD"/>
    <w:multiLevelType w:val="hybridMultilevel"/>
    <w:tmpl w:val="0C1C145C"/>
    <w:lvl w:ilvl="0" w:tplc="0B9A6736">
      <w:start w:val="4"/>
      <w:numFmt w:val="decimal"/>
      <w:lvlText w:val="%1、"/>
      <w:lvlJc w:val="left"/>
      <w:pPr>
        <w:ind w:left="1363"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1">
    <w:nsid w:val="033C3128"/>
    <w:multiLevelType w:val="hybridMultilevel"/>
    <w:tmpl w:val="0356756E"/>
    <w:lvl w:ilvl="0" w:tplc="8F4E17AC">
      <w:start w:val="1"/>
      <w:numFmt w:val="bullet"/>
      <w:lvlText w:val=""/>
      <w:lvlJc w:val="left"/>
      <w:pPr>
        <w:tabs>
          <w:tab w:val="num" w:pos="720"/>
        </w:tabs>
        <w:ind w:left="720" w:hanging="360"/>
      </w:pPr>
      <w:rPr>
        <w:rFonts w:ascii="Wingdings" w:hAnsi="Wingdings" w:hint="default"/>
      </w:rPr>
    </w:lvl>
    <w:lvl w:ilvl="1" w:tplc="72828328" w:tentative="1">
      <w:start w:val="1"/>
      <w:numFmt w:val="bullet"/>
      <w:lvlText w:val=""/>
      <w:lvlJc w:val="left"/>
      <w:pPr>
        <w:tabs>
          <w:tab w:val="num" w:pos="1440"/>
        </w:tabs>
        <w:ind w:left="1440" w:hanging="360"/>
      </w:pPr>
      <w:rPr>
        <w:rFonts w:ascii="Wingdings" w:hAnsi="Wingdings" w:hint="default"/>
      </w:rPr>
    </w:lvl>
    <w:lvl w:ilvl="2" w:tplc="2B523A52" w:tentative="1">
      <w:start w:val="1"/>
      <w:numFmt w:val="bullet"/>
      <w:lvlText w:val=""/>
      <w:lvlJc w:val="left"/>
      <w:pPr>
        <w:tabs>
          <w:tab w:val="num" w:pos="2160"/>
        </w:tabs>
        <w:ind w:left="2160" w:hanging="360"/>
      </w:pPr>
      <w:rPr>
        <w:rFonts w:ascii="Wingdings" w:hAnsi="Wingdings" w:hint="default"/>
      </w:rPr>
    </w:lvl>
    <w:lvl w:ilvl="3" w:tplc="B8A4E674" w:tentative="1">
      <w:start w:val="1"/>
      <w:numFmt w:val="bullet"/>
      <w:lvlText w:val=""/>
      <w:lvlJc w:val="left"/>
      <w:pPr>
        <w:tabs>
          <w:tab w:val="num" w:pos="2880"/>
        </w:tabs>
        <w:ind w:left="2880" w:hanging="360"/>
      </w:pPr>
      <w:rPr>
        <w:rFonts w:ascii="Wingdings" w:hAnsi="Wingdings" w:hint="default"/>
      </w:rPr>
    </w:lvl>
    <w:lvl w:ilvl="4" w:tplc="9006C624" w:tentative="1">
      <w:start w:val="1"/>
      <w:numFmt w:val="bullet"/>
      <w:lvlText w:val=""/>
      <w:lvlJc w:val="left"/>
      <w:pPr>
        <w:tabs>
          <w:tab w:val="num" w:pos="3600"/>
        </w:tabs>
        <w:ind w:left="3600" w:hanging="360"/>
      </w:pPr>
      <w:rPr>
        <w:rFonts w:ascii="Wingdings" w:hAnsi="Wingdings" w:hint="default"/>
      </w:rPr>
    </w:lvl>
    <w:lvl w:ilvl="5" w:tplc="05144D86" w:tentative="1">
      <w:start w:val="1"/>
      <w:numFmt w:val="bullet"/>
      <w:lvlText w:val=""/>
      <w:lvlJc w:val="left"/>
      <w:pPr>
        <w:tabs>
          <w:tab w:val="num" w:pos="4320"/>
        </w:tabs>
        <w:ind w:left="4320" w:hanging="360"/>
      </w:pPr>
      <w:rPr>
        <w:rFonts w:ascii="Wingdings" w:hAnsi="Wingdings" w:hint="default"/>
      </w:rPr>
    </w:lvl>
    <w:lvl w:ilvl="6" w:tplc="70140BCE" w:tentative="1">
      <w:start w:val="1"/>
      <w:numFmt w:val="bullet"/>
      <w:lvlText w:val=""/>
      <w:lvlJc w:val="left"/>
      <w:pPr>
        <w:tabs>
          <w:tab w:val="num" w:pos="5040"/>
        </w:tabs>
        <w:ind w:left="5040" w:hanging="360"/>
      </w:pPr>
      <w:rPr>
        <w:rFonts w:ascii="Wingdings" w:hAnsi="Wingdings" w:hint="default"/>
      </w:rPr>
    </w:lvl>
    <w:lvl w:ilvl="7" w:tplc="2C74D0CC" w:tentative="1">
      <w:start w:val="1"/>
      <w:numFmt w:val="bullet"/>
      <w:lvlText w:val=""/>
      <w:lvlJc w:val="left"/>
      <w:pPr>
        <w:tabs>
          <w:tab w:val="num" w:pos="5760"/>
        </w:tabs>
        <w:ind w:left="5760" w:hanging="360"/>
      </w:pPr>
      <w:rPr>
        <w:rFonts w:ascii="Wingdings" w:hAnsi="Wingdings" w:hint="default"/>
      </w:rPr>
    </w:lvl>
    <w:lvl w:ilvl="8" w:tplc="97AC40BA" w:tentative="1">
      <w:start w:val="1"/>
      <w:numFmt w:val="bullet"/>
      <w:lvlText w:val=""/>
      <w:lvlJc w:val="left"/>
      <w:pPr>
        <w:tabs>
          <w:tab w:val="num" w:pos="6480"/>
        </w:tabs>
        <w:ind w:left="6480" w:hanging="360"/>
      </w:pPr>
      <w:rPr>
        <w:rFonts w:ascii="Wingdings" w:hAnsi="Wingdings" w:hint="default"/>
      </w:rPr>
    </w:lvl>
  </w:abstractNum>
  <w:abstractNum w:abstractNumId="2">
    <w:nsid w:val="0F67187D"/>
    <w:multiLevelType w:val="hybridMultilevel"/>
    <w:tmpl w:val="717E4B4A"/>
    <w:lvl w:ilvl="0" w:tplc="D6BA43DE">
      <w:start w:val="1"/>
      <w:numFmt w:val="bullet"/>
      <w:lvlText w:val=""/>
      <w:lvlJc w:val="left"/>
      <w:pPr>
        <w:tabs>
          <w:tab w:val="num" w:pos="720"/>
        </w:tabs>
        <w:ind w:left="720" w:hanging="360"/>
      </w:pPr>
      <w:rPr>
        <w:rFonts w:ascii="Wingdings" w:hAnsi="Wingdings" w:hint="default"/>
      </w:rPr>
    </w:lvl>
    <w:lvl w:ilvl="1" w:tplc="EDE276F6" w:tentative="1">
      <w:start w:val="1"/>
      <w:numFmt w:val="bullet"/>
      <w:lvlText w:val=""/>
      <w:lvlJc w:val="left"/>
      <w:pPr>
        <w:tabs>
          <w:tab w:val="num" w:pos="1440"/>
        </w:tabs>
        <w:ind w:left="1440" w:hanging="360"/>
      </w:pPr>
      <w:rPr>
        <w:rFonts w:ascii="Wingdings" w:hAnsi="Wingdings" w:hint="default"/>
      </w:rPr>
    </w:lvl>
    <w:lvl w:ilvl="2" w:tplc="49441CFA" w:tentative="1">
      <w:start w:val="1"/>
      <w:numFmt w:val="bullet"/>
      <w:lvlText w:val=""/>
      <w:lvlJc w:val="left"/>
      <w:pPr>
        <w:tabs>
          <w:tab w:val="num" w:pos="2160"/>
        </w:tabs>
        <w:ind w:left="2160" w:hanging="360"/>
      </w:pPr>
      <w:rPr>
        <w:rFonts w:ascii="Wingdings" w:hAnsi="Wingdings" w:hint="default"/>
      </w:rPr>
    </w:lvl>
    <w:lvl w:ilvl="3" w:tplc="2746F65E" w:tentative="1">
      <w:start w:val="1"/>
      <w:numFmt w:val="bullet"/>
      <w:lvlText w:val=""/>
      <w:lvlJc w:val="left"/>
      <w:pPr>
        <w:tabs>
          <w:tab w:val="num" w:pos="2880"/>
        </w:tabs>
        <w:ind w:left="2880" w:hanging="360"/>
      </w:pPr>
      <w:rPr>
        <w:rFonts w:ascii="Wingdings" w:hAnsi="Wingdings" w:hint="default"/>
      </w:rPr>
    </w:lvl>
    <w:lvl w:ilvl="4" w:tplc="FC4C8F9C" w:tentative="1">
      <w:start w:val="1"/>
      <w:numFmt w:val="bullet"/>
      <w:lvlText w:val=""/>
      <w:lvlJc w:val="left"/>
      <w:pPr>
        <w:tabs>
          <w:tab w:val="num" w:pos="3600"/>
        </w:tabs>
        <w:ind w:left="3600" w:hanging="360"/>
      </w:pPr>
      <w:rPr>
        <w:rFonts w:ascii="Wingdings" w:hAnsi="Wingdings" w:hint="default"/>
      </w:rPr>
    </w:lvl>
    <w:lvl w:ilvl="5" w:tplc="B61E1FA4" w:tentative="1">
      <w:start w:val="1"/>
      <w:numFmt w:val="bullet"/>
      <w:lvlText w:val=""/>
      <w:lvlJc w:val="left"/>
      <w:pPr>
        <w:tabs>
          <w:tab w:val="num" w:pos="4320"/>
        </w:tabs>
        <w:ind w:left="4320" w:hanging="360"/>
      </w:pPr>
      <w:rPr>
        <w:rFonts w:ascii="Wingdings" w:hAnsi="Wingdings" w:hint="default"/>
      </w:rPr>
    </w:lvl>
    <w:lvl w:ilvl="6" w:tplc="50E82C10" w:tentative="1">
      <w:start w:val="1"/>
      <w:numFmt w:val="bullet"/>
      <w:lvlText w:val=""/>
      <w:lvlJc w:val="left"/>
      <w:pPr>
        <w:tabs>
          <w:tab w:val="num" w:pos="5040"/>
        </w:tabs>
        <w:ind w:left="5040" w:hanging="360"/>
      </w:pPr>
      <w:rPr>
        <w:rFonts w:ascii="Wingdings" w:hAnsi="Wingdings" w:hint="default"/>
      </w:rPr>
    </w:lvl>
    <w:lvl w:ilvl="7" w:tplc="AA2C07DC" w:tentative="1">
      <w:start w:val="1"/>
      <w:numFmt w:val="bullet"/>
      <w:lvlText w:val=""/>
      <w:lvlJc w:val="left"/>
      <w:pPr>
        <w:tabs>
          <w:tab w:val="num" w:pos="5760"/>
        </w:tabs>
        <w:ind w:left="5760" w:hanging="360"/>
      </w:pPr>
      <w:rPr>
        <w:rFonts w:ascii="Wingdings" w:hAnsi="Wingdings" w:hint="default"/>
      </w:rPr>
    </w:lvl>
    <w:lvl w:ilvl="8" w:tplc="E0B6449C" w:tentative="1">
      <w:start w:val="1"/>
      <w:numFmt w:val="bullet"/>
      <w:lvlText w:val=""/>
      <w:lvlJc w:val="left"/>
      <w:pPr>
        <w:tabs>
          <w:tab w:val="num" w:pos="6480"/>
        </w:tabs>
        <w:ind w:left="6480" w:hanging="360"/>
      </w:pPr>
      <w:rPr>
        <w:rFonts w:ascii="Wingdings" w:hAnsi="Wingdings" w:hint="default"/>
      </w:rPr>
    </w:lvl>
  </w:abstractNum>
  <w:abstractNum w:abstractNumId="3">
    <w:nsid w:val="13C35246"/>
    <w:multiLevelType w:val="hybridMultilevel"/>
    <w:tmpl w:val="FB06CEBE"/>
    <w:lvl w:ilvl="0" w:tplc="D33660BC">
      <w:start w:val="1"/>
      <w:numFmt w:val="bullet"/>
      <w:lvlText w:val=""/>
      <w:lvlJc w:val="left"/>
      <w:pPr>
        <w:tabs>
          <w:tab w:val="num" w:pos="720"/>
        </w:tabs>
        <w:ind w:left="720" w:hanging="360"/>
      </w:pPr>
      <w:rPr>
        <w:rFonts w:ascii="Wingdings" w:hAnsi="Wingdings" w:hint="default"/>
      </w:rPr>
    </w:lvl>
    <w:lvl w:ilvl="1" w:tplc="845AFE78" w:tentative="1">
      <w:start w:val="1"/>
      <w:numFmt w:val="bullet"/>
      <w:lvlText w:val=""/>
      <w:lvlJc w:val="left"/>
      <w:pPr>
        <w:tabs>
          <w:tab w:val="num" w:pos="1440"/>
        </w:tabs>
        <w:ind w:left="1440" w:hanging="360"/>
      </w:pPr>
      <w:rPr>
        <w:rFonts w:ascii="Wingdings" w:hAnsi="Wingdings" w:hint="default"/>
      </w:rPr>
    </w:lvl>
    <w:lvl w:ilvl="2" w:tplc="EDB00C2E" w:tentative="1">
      <w:start w:val="1"/>
      <w:numFmt w:val="bullet"/>
      <w:lvlText w:val=""/>
      <w:lvlJc w:val="left"/>
      <w:pPr>
        <w:tabs>
          <w:tab w:val="num" w:pos="2160"/>
        </w:tabs>
        <w:ind w:left="2160" w:hanging="360"/>
      </w:pPr>
      <w:rPr>
        <w:rFonts w:ascii="Wingdings" w:hAnsi="Wingdings" w:hint="default"/>
      </w:rPr>
    </w:lvl>
    <w:lvl w:ilvl="3" w:tplc="8EA49A0C" w:tentative="1">
      <w:start w:val="1"/>
      <w:numFmt w:val="bullet"/>
      <w:lvlText w:val=""/>
      <w:lvlJc w:val="left"/>
      <w:pPr>
        <w:tabs>
          <w:tab w:val="num" w:pos="2880"/>
        </w:tabs>
        <w:ind w:left="2880" w:hanging="360"/>
      </w:pPr>
      <w:rPr>
        <w:rFonts w:ascii="Wingdings" w:hAnsi="Wingdings" w:hint="default"/>
      </w:rPr>
    </w:lvl>
    <w:lvl w:ilvl="4" w:tplc="689CBBE6" w:tentative="1">
      <w:start w:val="1"/>
      <w:numFmt w:val="bullet"/>
      <w:lvlText w:val=""/>
      <w:lvlJc w:val="left"/>
      <w:pPr>
        <w:tabs>
          <w:tab w:val="num" w:pos="3600"/>
        </w:tabs>
        <w:ind w:left="3600" w:hanging="360"/>
      </w:pPr>
      <w:rPr>
        <w:rFonts w:ascii="Wingdings" w:hAnsi="Wingdings" w:hint="default"/>
      </w:rPr>
    </w:lvl>
    <w:lvl w:ilvl="5" w:tplc="07B86474" w:tentative="1">
      <w:start w:val="1"/>
      <w:numFmt w:val="bullet"/>
      <w:lvlText w:val=""/>
      <w:lvlJc w:val="left"/>
      <w:pPr>
        <w:tabs>
          <w:tab w:val="num" w:pos="4320"/>
        </w:tabs>
        <w:ind w:left="4320" w:hanging="360"/>
      </w:pPr>
      <w:rPr>
        <w:rFonts w:ascii="Wingdings" w:hAnsi="Wingdings" w:hint="default"/>
      </w:rPr>
    </w:lvl>
    <w:lvl w:ilvl="6" w:tplc="486CE47C" w:tentative="1">
      <w:start w:val="1"/>
      <w:numFmt w:val="bullet"/>
      <w:lvlText w:val=""/>
      <w:lvlJc w:val="left"/>
      <w:pPr>
        <w:tabs>
          <w:tab w:val="num" w:pos="5040"/>
        </w:tabs>
        <w:ind w:left="5040" w:hanging="360"/>
      </w:pPr>
      <w:rPr>
        <w:rFonts w:ascii="Wingdings" w:hAnsi="Wingdings" w:hint="default"/>
      </w:rPr>
    </w:lvl>
    <w:lvl w:ilvl="7" w:tplc="094CE814" w:tentative="1">
      <w:start w:val="1"/>
      <w:numFmt w:val="bullet"/>
      <w:lvlText w:val=""/>
      <w:lvlJc w:val="left"/>
      <w:pPr>
        <w:tabs>
          <w:tab w:val="num" w:pos="5760"/>
        </w:tabs>
        <w:ind w:left="5760" w:hanging="360"/>
      </w:pPr>
      <w:rPr>
        <w:rFonts w:ascii="Wingdings" w:hAnsi="Wingdings" w:hint="default"/>
      </w:rPr>
    </w:lvl>
    <w:lvl w:ilvl="8" w:tplc="07C422B2" w:tentative="1">
      <w:start w:val="1"/>
      <w:numFmt w:val="bullet"/>
      <w:lvlText w:val=""/>
      <w:lvlJc w:val="left"/>
      <w:pPr>
        <w:tabs>
          <w:tab w:val="num" w:pos="6480"/>
        </w:tabs>
        <w:ind w:left="6480" w:hanging="360"/>
      </w:pPr>
      <w:rPr>
        <w:rFonts w:ascii="Wingdings" w:hAnsi="Wingdings" w:hint="default"/>
      </w:rPr>
    </w:lvl>
  </w:abstractNum>
  <w:abstractNum w:abstractNumId="4">
    <w:nsid w:val="15E10307"/>
    <w:multiLevelType w:val="hybridMultilevel"/>
    <w:tmpl w:val="B67C29AE"/>
    <w:lvl w:ilvl="0" w:tplc="51B860E6">
      <w:start w:val="1"/>
      <w:numFmt w:val="bullet"/>
      <w:lvlText w:val=""/>
      <w:lvlJc w:val="left"/>
      <w:pPr>
        <w:tabs>
          <w:tab w:val="num" w:pos="720"/>
        </w:tabs>
        <w:ind w:left="720" w:hanging="360"/>
      </w:pPr>
      <w:rPr>
        <w:rFonts w:ascii="Wingdings" w:hAnsi="Wingdings" w:hint="default"/>
      </w:rPr>
    </w:lvl>
    <w:lvl w:ilvl="1" w:tplc="B8AC3DE8" w:tentative="1">
      <w:start w:val="1"/>
      <w:numFmt w:val="bullet"/>
      <w:lvlText w:val=""/>
      <w:lvlJc w:val="left"/>
      <w:pPr>
        <w:tabs>
          <w:tab w:val="num" w:pos="1440"/>
        </w:tabs>
        <w:ind w:left="1440" w:hanging="360"/>
      </w:pPr>
      <w:rPr>
        <w:rFonts w:ascii="Wingdings" w:hAnsi="Wingdings" w:hint="default"/>
      </w:rPr>
    </w:lvl>
    <w:lvl w:ilvl="2" w:tplc="5FDC0624" w:tentative="1">
      <w:start w:val="1"/>
      <w:numFmt w:val="bullet"/>
      <w:lvlText w:val=""/>
      <w:lvlJc w:val="left"/>
      <w:pPr>
        <w:tabs>
          <w:tab w:val="num" w:pos="2160"/>
        </w:tabs>
        <w:ind w:left="2160" w:hanging="360"/>
      </w:pPr>
      <w:rPr>
        <w:rFonts w:ascii="Wingdings" w:hAnsi="Wingdings" w:hint="default"/>
      </w:rPr>
    </w:lvl>
    <w:lvl w:ilvl="3" w:tplc="E75AE7D4" w:tentative="1">
      <w:start w:val="1"/>
      <w:numFmt w:val="bullet"/>
      <w:lvlText w:val=""/>
      <w:lvlJc w:val="left"/>
      <w:pPr>
        <w:tabs>
          <w:tab w:val="num" w:pos="2880"/>
        </w:tabs>
        <w:ind w:left="2880" w:hanging="360"/>
      </w:pPr>
      <w:rPr>
        <w:rFonts w:ascii="Wingdings" w:hAnsi="Wingdings" w:hint="default"/>
      </w:rPr>
    </w:lvl>
    <w:lvl w:ilvl="4" w:tplc="5B60F73E" w:tentative="1">
      <w:start w:val="1"/>
      <w:numFmt w:val="bullet"/>
      <w:lvlText w:val=""/>
      <w:lvlJc w:val="left"/>
      <w:pPr>
        <w:tabs>
          <w:tab w:val="num" w:pos="3600"/>
        </w:tabs>
        <w:ind w:left="3600" w:hanging="360"/>
      </w:pPr>
      <w:rPr>
        <w:rFonts w:ascii="Wingdings" w:hAnsi="Wingdings" w:hint="default"/>
      </w:rPr>
    </w:lvl>
    <w:lvl w:ilvl="5" w:tplc="914212E0" w:tentative="1">
      <w:start w:val="1"/>
      <w:numFmt w:val="bullet"/>
      <w:lvlText w:val=""/>
      <w:lvlJc w:val="left"/>
      <w:pPr>
        <w:tabs>
          <w:tab w:val="num" w:pos="4320"/>
        </w:tabs>
        <w:ind w:left="4320" w:hanging="360"/>
      </w:pPr>
      <w:rPr>
        <w:rFonts w:ascii="Wingdings" w:hAnsi="Wingdings" w:hint="default"/>
      </w:rPr>
    </w:lvl>
    <w:lvl w:ilvl="6" w:tplc="5CD6ED6E" w:tentative="1">
      <w:start w:val="1"/>
      <w:numFmt w:val="bullet"/>
      <w:lvlText w:val=""/>
      <w:lvlJc w:val="left"/>
      <w:pPr>
        <w:tabs>
          <w:tab w:val="num" w:pos="5040"/>
        </w:tabs>
        <w:ind w:left="5040" w:hanging="360"/>
      </w:pPr>
      <w:rPr>
        <w:rFonts w:ascii="Wingdings" w:hAnsi="Wingdings" w:hint="default"/>
      </w:rPr>
    </w:lvl>
    <w:lvl w:ilvl="7" w:tplc="32427C12" w:tentative="1">
      <w:start w:val="1"/>
      <w:numFmt w:val="bullet"/>
      <w:lvlText w:val=""/>
      <w:lvlJc w:val="left"/>
      <w:pPr>
        <w:tabs>
          <w:tab w:val="num" w:pos="5760"/>
        </w:tabs>
        <w:ind w:left="5760" w:hanging="360"/>
      </w:pPr>
      <w:rPr>
        <w:rFonts w:ascii="Wingdings" w:hAnsi="Wingdings" w:hint="default"/>
      </w:rPr>
    </w:lvl>
    <w:lvl w:ilvl="8" w:tplc="45A8C720" w:tentative="1">
      <w:start w:val="1"/>
      <w:numFmt w:val="bullet"/>
      <w:lvlText w:val=""/>
      <w:lvlJc w:val="left"/>
      <w:pPr>
        <w:tabs>
          <w:tab w:val="num" w:pos="6480"/>
        </w:tabs>
        <w:ind w:left="6480" w:hanging="360"/>
      </w:pPr>
      <w:rPr>
        <w:rFonts w:ascii="Wingdings" w:hAnsi="Wingdings" w:hint="default"/>
      </w:rPr>
    </w:lvl>
  </w:abstractNum>
  <w:abstractNum w:abstractNumId="5">
    <w:nsid w:val="18D01CA8"/>
    <w:multiLevelType w:val="hybridMultilevel"/>
    <w:tmpl w:val="C3D8B00C"/>
    <w:lvl w:ilvl="0" w:tplc="B3FC36F6">
      <w:start w:val="3"/>
      <w:numFmt w:val="decimal"/>
      <w:lvlText w:val="%1、"/>
      <w:lvlJc w:val="left"/>
      <w:pPr>
        <w:ind w:left="1363"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6">
    <w:nsid w:val="1C1C23D2"/>
    <w:multiLevelType w:val="hybridMultilevel"/>
    <w:tmpl w:val="F5F2104A"/>
    <w:lvl w:ilvl="0" w:tplc="559CC43C">
      <w:start w:val="1"/>
      <w:numFmt w:val="bullet"/>
      <w:lvlText w:val=""/>
      <w:lvlJc w:val="left"/>
      <w:pPr>
        <w:tabs>
          <w:tab w:val="num" w:pos="720"/>
        </w:tabs>
        <w:ind w:left="720" w:hanging="360"/>
      </w:pPr>
      <w:rPr>
        <w:rFonts w:ascii="Wingdings" w:hAnsi="Wingdings" w:hint="default"/>
      </w:rPr>
    </w:lvl>
    <w:lvl w:ilvl="1" w:tplc="E4D6AA9E" w:tentative="1">
      <w:start w:val="1"/>
      <w:numFmt w:val="bullet"/>
      <w:lvlText w:val=""/>
      <w:lvlJc w:val="left"/>
      <w:pPr>
        <w:tabs>
          <w:tab w:val="num" w:pos="1440"/>
        </w:tabs>
        <w:ind w:left="1440" w:hanging="360"/>
      </w:pPr>
      <w:rPr>
        <w:rFonts w:ascii="Wingdings" w:hAnsi="Wingdings" w:hint="default"/>
      </w:rPr>
    </w:lvl>
    <w:lvl w:ilvl="2" w:tplc="E1A2C59E" w:tentative="1">
      <w:start w:val="1"/>
      <w:numFmt w:val="bullet"/>
      <w:lvlText w:val=""/>
      <w:lvlJc w:val="left"/>
      <w:pPr>
        <w:tabs>
          <w:tab w:val="num" w:pos="2160"/>
        </w:tabs>
        <w:ind w:left="2160" w:hanging="360"/>
      </w:pPr>
      <w:rPr>
        <w:rFonts w:ascii="Wingdings" w:hAnsi="Wingdings" w:hint="default"/>
      </w:rPr>
    </w:lvl>
    <w:lvl w:ilvl="3" w:tplc="F9980234" w:tentative="1">
      <w:start w:val="1"/>
      <w:numFmt w:val="bullet"/>
      <w:lvlText w:val=""/>
      <w:lvlJc w:val="left"/>
      <w:pPr>
        <w:tabs>
          <w:tab w:val="num" w:pos="2880"/>
        </w:tabs>
        <w:ind w:left="2880" w:hanging="360"/>
      </w:pPr>
      <w:rPr>
        <w:rFonts w:ascii="Wingdings" w:hAnsi="Wingdings" w:hint="default"/>
      </w:rPr>
    </w:lvl>
    <w:lvl w:ilvl="4" w:tplc="D3888D86" w:tentative="1">
      <w:start w:val="1"/>
      <w:numFmt w:val="bullet"/>
      <w:lvlText w:val=""/>
      <w:lvlJc w:val="left"/>
      <w:pPr>
        <w:tabs>
          <w:tab w:val="num" w:pos="3600"/>
        </w:tabs>
        <w:ind w:left="3600" w:hanging="360"/>
      </w:pPr>
      <w:rPr>
        <w:rFonts w:ascii="Wingdings" w:hAnsi="Wingdings" w:hint="default"/>
      </w:rPr>
    </w:lvl>
    <w:lvl w:ilvl="5" w:tplc="E272C088" w:tentative="1">
      <w:start w:val="1"/>
      <w:numFmt w:val="bullet"/>
      <w:lvlText w:val=""/>
      <w:lvlJc w:val="left"/>
      <w:pPr>
        <w:tabs>
          <w:tab w:val="num" w:pos="4320"/>
        </w:tabs>
        <w:ind w:left="4320" w:hanging="360"/>
      </w:pPr>
      <w:rPr>
        <w:rFonts w:ascii="Wingdings" w:hAnsi="Wingdings" w:hint="default"/>
      </w:rPr>
    </w:lvl>
    <w:lvl w:ilvl="6" w:tplc="A872C284" w:tentative="1">
      <w:start w:val="1"/>
      <w:numFmt w:val="bullet"/>
      <w:lvlText w:val=""/>
      <w:lvlJc w:val="left"/>
      <w:pPr>
        <w:tabs>
          <w:tab w:val="num" w:pos="5040"/>
        </w:tabs>
        <w:ind w:left="5040" w:hanging="360"/>
      </w:pPr>
      <w:rPr>
        <w:rFonts w:ascii="Wingdings" w:hAnsi="Wingdings" w:hint="default"/>
      </w:rPr>
    </w:lvl>
    <w:lvl w:ilvl="7" w:tplc="B5C24F42" w:tentative="1">
      <w:start w:val="1"/>
      <w:numFmt w:val="bullet"/>
      <w:lvlText w:val=""/>
      <w:lvlJc w:val="left"/>
      <w:pPr>
        <w:tabs>
          <w:tab w:val="num" w:pos="5760"/>
        </w:tabs>
        <w:ind w:left="5760" w:hanging="360"/>
      </w:pPr>
      <w:rPr>
        <w:rFonts w:ascii="Wingdings" w:hAnsi="Wingdings" w:hint="default"/>
      </w:rPr>
    </w:lvl>
    <w:lvl w:ilvl="8" w:tplc="10EC7B92" w:tentative="1">
      <w:start w:val="1"/>
      <w:numFmt w:val="bullet"/>
      <w:lvlText w:val=""/>
      <w:lvlJc w:val="left"/>
      <w:pPr>
        <w:tabs>
          <w:tab w:val="num" w:pos="6480"/>
        </w:tabs>
        <w:ind w:left="6480" w:hanging="360"/>
      </w:pPr>
      <w:rPr>
        <w:rFonts w:ascii="Wingdings" w:hAnsi="Wingdings" w:hint="default"/>
      </w:rPr>
    </w:lvl>
  </w:abstractNum>
  <w:abstractNum w:abstractNumId="7">
    <w:nsid w:val="22100056"/>
    <w:multiLevelType w:val="hybridMultilevel"/>
    <w:tmpl w:val="4E7C716E"/>
    <w:lvl w:ilvl="0" w:tplc="D6866B00">
      <w:start w:val="4"/>
      <w:numFmt w:val="decimal"/>
      <w:lvlText w:val="%1、"/>
      <w:lvlJc w:val="left"/>
      <w:pPr>
        <w:ind w:left="1363"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8">
    <w:nsid w:val="26C75B1F"/>
    <w:multiLevelType w:val="hybridMultilevel"/>
    <w:tmpl w:val="5EDED71C"/>
    <w:lvl w:ilvl="0" w:tplc="14567ABE">
      <w:start w:val="3"/>
      <w:numFmt w:val="decimal"/>
      <w:lvlText w:val="%1、"/>
      <w:lvlJc w:val="left"/>
      <w:pPr>
        <w:ind w:left="1363" w:hanging="720"/>
      </w:pPr>
      <w:rPr>
        <w:rFonts w:hint="default"/>
        <w:b/>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9">
    <w:nsid w:val="27300F44"/>
    <w:multiLevelType w:val="hybridMultilevel"/>
    <w:tmpl w:val="ACBC2E54"/>
    <w:lvl w:ilvl="0" w:tplc="C96CEF94">
      <w:start w:val="1"/>
      <w:numFmt w:val="bullet"/>
      <w:lvlText w:val=""/>
      <w:lvlJc w:val="left"/>
      <w:pPr>
        <w:tabs>
          <w:tab w:val="num" w:pos="720"/>
        </w:tabs>
        <w:ind w:left="720" w:hanging="360"/>
      </w:pPr>
      <w:rPr>
        <w:rFonts w:ascii="Wingdings" w:hAnsi="Wingdings" w:hint="default"/>
      </w:rPr>
    </w:lvl>
    <w:lvl w:ilvl="1" w:tplc="A3CA20C2" w:tentative="1">
      <w:start w:val="1"/>
      <w:numFmt w:val="bullet"/>
      <w:lvlText w:val=""/>
      <w:lvlJc w:val="left"/>
      <w:pPr>
        <w:tabs>
          <w:tab w:val="num" w:pos="1440"/>
        </w:tabs>
        <w:ind w:left="1440" w:hanging="360"/>
      </w:pPr>
      <w:rPr>
        <w:rFonts w:ascii="Wingdings" w:hAnsi="Wingdings" w:hint="default"/>
      </w:rPr>
    </w:lvl>
    <w:lvl w:ilvl="2" w:tplc="13367FE4" w:tentative="1">
      <w:start w:val="1"/>
      <w:numFmt w:val="bullet"/>
      <w:lvlText w:val=""/>
      <w:lvlJc w:val="left"/>
      <w:pPr>
        <w:tabs>
          <w:tab w:val="num" w:pos="2160"/>
        </w:tabs>
        <w:ind w:left="2160" w:hanging="360"/>
      </w:pPr>
      <w:rPr>
        <w:rFonts w:ascii="Wingdings" w:hAnsi="Wingdings" w:hint="default"/>
      </w:rPr>
    </w:lvl>
    <w:lvl w:ilvl="3" w:tplc="AD60F0D2" w:tentative="1">
      <w:start w:val="1"/>
      <w:numFmt w:val="bullet"/>
      <w:lvlText w:val=""/>
      <w:lvlJc w:val="left"/>
      <w:pPr>
        <w:tabs>
          <w:tab w:val="num" w:pos="2880"/>
        </w:tabs>
        <w:ind w:left="2880" w:hanging="360"/>
      </w:pPr>
      <w:rPr>
        <w:rFonts w:ascii="Wingdings" w:hAnsi="Wingdings" w:hint="default"/>
      </w:rPr>
    </w:lvl>
    <w:lvl w:ilvl="4" w:tplc="4FDE7E50" w:tentative="1">
      <w:start w:val="1"/>
      <w:numFmt w:val="bullet"/>
      <w:lvlText w:val=""/>
      <w:lvlJc w:val="left"/>
      <w:pPr>
        <w:tabs>
          <w:tab w:val="num" w:pos="3600"/>
        </w:tabs>
        <w:ind w:left="3600" w:hanging="360"/>
      </w:pPr>
      <w:rPr>
        <w:rFonts w:ascii="Wingdings" w:hAnsi="Wingdings" w:hint="default"/>
      </w:rPr>
    </w:lvl>
    <w:lvl w:ilvl="5" w:tplc="26B20710" w:tentative="1">
      <w:start w:val="1"/>
      <w:numFmt w:val="bullet"/>
      <w:lvlText w:val=""/>
      <w:lvlJc w:val="left"/>
      <w:pPr>
        <w:tabs>
          <w:tab w:val="num" w:pos="4320"/>
        </w:tabs>
        <w:ind w:left="4320" w:hanging="360"/>
      </w:pPr>
      <w:rPr>
        <w:rFonts w:ascii="Wingdings" w:hAnsi="Wingdings" w:hint="default"/>
      </w:rPr>
    </w:lvl>
    <w:lvl w:ilvl="6" w:tplc="35F0A280" w:tentative="1">
      <w:start w:val="1"/>
      <w:numFmt w:val="bullet"/>
      <w:lvlText w:val=""/>
      <w:lvlJc w:val="left"/>
      <w:pPr>
        <w:tabs>
          <w:tab w:val="num" w:pos="5040"/>
        </w:tabs>
        <w:ind w:left="5040" w:hanging="360"/>
      </w:pPr>
      <w:rPr>
        <w:rFonts w:ascii="Wingdings" w:hAnsi="Wingdings" w:hint="default"/>
      </w:rPr>
    </w:lvl>
    <w:lvl w:ilvl="7" w:tplc="762AAED8" w:tentative="1">
      <w:start w:val="1"/>
      <w:numFmt w:val="bullet"/>
      <w:lvlText w:val=""/>
      <w:lvlJc w:val="left"/>
      <w:pPr>
        <w:tabs>
          <w:tab w:val="num" w:pos="5760"/>
        </w:tabs>
        <w:ind w:left="5760" w:hanging="360"/>
      </w:pPr>
      <w:rPr>
        <w:rFonts w:ascii="Wingdings" w:hAnsi="Wingdings" w:hint="default"/>
      </w:rPr>
    </w:lvl>
    <w:lvl w:ilvl="8" w:tplc="4AC4AD34" w:tentative="1">
      <w:start w:val="1"/>
      <w:numFmt w:val="bullet"/>
      <w:lvlText w:val=""/>
      <w:lvlJc w:val="left"/>
      <w:pPr>
        <w:tabs>
          <w:tab w:val="num" w:pos="6480"/>
        </w:tabs>
        <w:ind w:left="6480" w:hanging="360"/>
      </w:pPr>
      <w:rPr>
        <w:rFonts w:ascii="Wingdings" w:hAnsi="Wingdings" w:hint="default"/>
      </w:rPr>
    </w:lvl>
  </w:abstractNum>
  <w:abstractNum w:abstractNumId="10">
    <w:nsid w:val="29013EE0"/>
    <w:multiLevelType w:val="hybridMultilevel"/>
    <w:tmpl w:val="D834F4A0"/>
    <w:lvl w:ilvl="0" w:tplc="90E8B226">
      <w:start w:val="1"/>
      <w:numFmt w:val="japaneseCounting"/>
      <w:lvlText w:val="（%1）"/>
      <w:lvlJc w:val="left"/>
      <w:pPr>
        <w:ind w:left="1723" w:hanging="108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11">
    <w:nsid w:val="299742E9"/>
    <w:multiLevelType w:val="hybridMultilevel"/>
    <w:tmpl w:val="39746B58"/>
    <w:lvl w:ilvl="0" w:tplc="ABBE4E1A">
      <w:start w:val="1"/>
      <w:numFmt w:val="bullet"/>
      <w:lvlText w:val=""/>
      <w:lvlJc w:val="left"/>
      <w:pPr>
        <w:tabs>
          <w:tab w:val="num" w:pos="720"/>
        </w:tabs>
        <w:ind w:left="720" w:hanging="360"/>
      </w:pPr>
      <w:rPr>
        <w:rFonts w:ascii="Wingdings" w:hAnsi="Wingdings" w:hint="default"/>
      </w:rPr>
    </w:lvl>
    <w:lvl w:ilvl="1" w:tplc="94561134" w:tentative="1">
      <w:start w:val="1"/>
      <w:numFmt w:val="bullet"/>
      <w:lvlText w:val=""/>
      <w:lvlJc w:val="left"/>
      <w:pPr>
        <w:tabs>
          <w:tab w:val="num" w:pos="1440"/>
        </w:tabs>
        <w:ind w:left="1440" w:hanging="360"/>
      </w:pPr>
      <w:rPr>
        <w:rFonts w:ascii="Wingdings" w:hAnsi="Wingdings" w:hint="default"/>
      </w:rPr>
    </w:lvl>
    <w:lvl w:ilvl="2" w:tplc="34D4FFE0" w:tentative="1">
      <w:start w:val="1"/>
      <w:numFmt w:val="bullet"/>
      <w:lvlText w:val=""/>
      <w:lvlJc w:val="left"/>
      <w:pPr>
        <w:tabs>
          <w:tab w:val="num" w:pos="2160"/>
        </w:tabs>
        <w:ind w:left="2160" w:hanging="360"/>
      </w:pPr>
      <w:rPr>
        <w:rFonts w:ascii="Wingdings" w:hAnsi="Wingdings" w:hint="default"/>
      </w:rPr>
    </w:lvl>
    <w:lvl w:ilvl="3" w:tplc="FAB20C9E" w:tentative="1">
      <w:start w:val="1"/>
      <w:numFmt w:val="bullet"/>
      <w:lvlText w:val=""/>
      <w:lvlJc w:val="left"/>
      <w:pPr>
        <w:tabs>
          <w:tab w:val="num" w:pos="2880"/>
        </w:tabs>
        <w:ind w:left="2880" w:hanging="360"/>
      </w:pPr>
      <w:rPr>
        <w:rFonts w:ascii="Wingdings" w:hAnsi="Wingdings" w:hint="default"/>
      </w:rPr>
    </w:lvl>
    <w:lvl w:ilvl="4" w:tplc="7A0EEC40" w:tentative="1">
      <w:start w:val="1"/>
      <w:numFmt w:val="bullet"/>
      <w:lvlText w:val=""/>
      <w:lvlJc w:val="left"/>
      <w:pPr>
        <w:tabs>
          <w:tab w:val="num" w:pos="3600"/>
        </w:tabs>
        <w:ind w:left="3600" w:hanging="360"/>
      </w:pPr>
      <w:rPr>
        <w:rFonts w:ascii="Wingdings" w:hAnsi="Wingdings" w:hint="default"/>
      </w:rPr>
    </w:lvl>
    <w:lvl w:ilvl="5" w:tplc="03482162" w:tentative="1">
      <w:start w:val="1"/>
      <w:numFmt w:val="bullet"/>
      <w:lvlText w:val=""/>
      <w:lvlJc w:val="left"/>
      <w:pPr>
        <w:tabs>
          <w:tab w:val="num" w:pos="4320"/>
        </w:tabs>
        <w:ind w:left="4320" w:hanging="360"/>
      </w:pPr>
      <w:rPr>
        <w:rFonts w:ascii="Wingdings" w:hAnsi="Wingdings" w:hint="default"/>
      </w:rPr>
    </w:lvl>
    <w:lvl w:ilvl="6" w:tplc="0B18D2C0" w:tentative="1">
      <w:start w:val="1"/>
      <w:numFmt w:val="bullet"/>
      <w:lvlText w:val=""/>
      <w:lvlJc w:val="left"/>
      <w:pPr>
        <w:tabs>
          <w:tab w:val="num" w:pos="5040"/>
        </w:tabs>
        <w:ind w:left="5040" w:hanging="360"/>
      </w:pPr>
      <w:rPr>
        <w:rFonts w:ascii="Wingdings" w:hAnsi="Wingdings" w:hint="default"/>
      </w:rPr>
    </w:lvl>
    <w:lvl w:ilvl="7" w:tplc="9490DF16" w:tentative="1">
      <w:start w:val="1"/>
      <w:numFmt w:val="bullet"/>
      <w:lvlText w:val=""/>
      <w:lvlJc w:val="left"/>
      <w:pPr>
        <w:tabs>
          <w:tab w:val="num" w:pos="5760"/>
        </w:tabs>
        <w:ind w:left="5760" w:hanging="360"/>
      </w:pPr>
      <w:rPr>
        <w:rFonts w:ascii="Wingdings" w:hAnsi="Wingdings" w:hint="default"/>
      </w:rPr>
    </w:lvl>
    <w:lvl w:ilvl="8" w:tplc="D82A4F02" w:tentative="1">
      <w:start w:val="1"/>
      <w:numFmt w:val="bullet"/>
      <w:lvlText w:val=""/>
      <w:lvlJc w:val="left"/>
      <w:pPr>
        <w:tabs>
          <w:tab w:val="num" w:pos="6480"/>
        </w:tabs>
        <w:ind w:left="6480" w:hanging="360"/>
      </w:pPr>
      <w:rPr>
        <w:rFonts w:ascii="Wingdings" w:hAnsi="Wingdings" w:hint="default"/>
      </w:rPr>
    </w:lvl>
  </w:abstractNum>
  <w:abstractNum w:abstractNumId="12">
    <w:nsid w:val="2A3D1885"/>
    <w:multiLevelType w:val="hybridMultilevel"/>
    <w:tmpl w:val="A6D268B6"/>
    <w:lvl w:ilvl="0" w:tplc="6EB22DB4">
      <w:start w:val="1"/>
      <w:numFmt w:val="bullet"/>
      <w:lvlText w:val=""/>
      <w:lvlJc w:val="left"/>
      <w:pPr>
        <w:tabs>
          <w:tab w:val="num" w:pos="720"/>
        </w:tabs>
        <w:ind w:left="720" w:hanging="360"/>
      </w:pPr>
      <w:rPr>
        <w:rFonts w:ascii="Wingdings" w:hAnsi="Wingdings" w:hint="default"/>
      </w:rPr>
    </w:lvl>
    <w:lvl w:ilvl="1" w:tplc="D2906500" w:tentative="1">
      <w:start w:val="1"/>
      <w:numFmt w:val="bullet"/>
      <w:lvlText w:val=""/>
      <w:lvlJc w:val="left"/>
      <w:pPr>
        <w:tabs>
          <w:tab w:val="num" w:pos="1440"/>
        </w:tabs>
        <w:ind w:left="1440" w:hanging="360"/>
      </w:pPr>
      <w:rPr>
        <w:rFonts w:ascii="Wingdings" w:hAnsi="Wingdings" w:hint="default"/>
      </w:rPr>
    </w:lvl>
    <w:lvl w:ilvl="2" w:tplc="2B42D114" w:tentative="1">
      <w:start w:val="1"/>
      <w:numFmt w:val="bullet"/>
      <w:lvlText w:val=""/>
      <w:lvlJc w:val="left"/>
      <w:pPr>
        <w:tabs>
          <w:tab w:val="num" w:pos="2160"/>
        </w:tabs>
        <w:ind w:left="2160" w:hanging="360"/>
      </w:pPr>
      <w:rPr>
        <w:rFonts w:ascii="Wingdings" w:hAnsi="Wingdings" w:hint="default"/>
      </w:rPr>
    </w:lvl>
    <w:lvl w:ilvl="3" w:tplc="94A64686" w:tentative="1">
      <w:start w:val="1"/>
      <w:numFmt w:val="bullet"/>
      <w:lvlText w:val=""/>
      <w:lvlJc w:val="left"/>
      <w:pPr>
        <w:tabs>
          <w:tab w:val="num" w:pos="2880"/>
        </w:tabs>
        <w:ind w:left="2880" w:hanging="360"/>
      </w:pPr>
      <w:rPr>
        <w:rFonts w:ascii="Wingdings" w:hAnsi="Wingdings" w:hint="default"/>
      </w:rPr>
    </w:lvl>
    <w:lvl w:ilvl="4" w:tplc="0AF6BC5E" w:tentative="1">
      <w:start w:val="1"/>
      <w:numFmt w:val="bullet"/>
      <w:lvlText w:val=""/>
      <w:lvlJc w:val="left"/>
      <w:pPr>
        <w:tabs>
          <w:tab w:val="num" w:pos="3600"/>
        </w:tabs>
        <w:ind w:left="3600" w:hanging="360"/>
      </w:pPr>
      <w:rPr>
        <w:rFonts w:ascii="Wingdings" w:hAnsi="Wingdings" w:hint="default"/>
      </w:rPr>
    </w:lvl>
    <w:lvl w:ilvl="5" w:tplc="F54AC808" w:tentative="1">
      <w:start w:val="1"/>
      <w:numFmt w:val="bullet"/>
      <w:lvlText w:val=""/>
      <w:lvlJc w:val="left"/>
      <w:pPr>
        <w:tabs>
          <w:tab w:val="num" w:pos="4320"/>
        </w:tabs>
        <w:ind w:left="4320" w:hanging="360"/>
      </w:pPr>
      <w:rPr>
        <w:rFonts w:ascii="Wingdings" w:hAnsi="Wingdings" w:hint="default"/>
      </w:rPr>
    </w:lvl>
    <w:lvl w:ilvl="6" w:tplc="70108D2C" w:tentative="1">
      <w:start w:val="1"/>
      <w:numFmt w:val="bullet"/>
      <w:lvlText w:val=""/>
      <w:lvlJc w:val="left"/>
      <w:pPr>
        <w:tabs>
          <w:tab w:val="num" w:pos="5040"/>
        </w:tabs>
        <w:ind w:left="5040" w:hanging="360"/>
      </w:pPr>
      <w:rPr>
        <w:rFonts w:ascii="Wingdings" w:hAnsi="Wingdings" w:hint="default"/>
      </w:rPr>
    </w:lvl>
    <w:lvl w:ilvl="7" w:tplc="50B8F338" w:tentative="1">
      <w:start w:val="1"/>
      <w:numFmt w:val="bullet"/>
      <w:lvlText w:val=""/>
      <w:lvlJc w:val="left"/>
      <w:pPr>
        <w:tabs>
          <w:tab w:val="num" w:pos="5760"/>
        </w:tabs>
        <w:ind w:left="5760" w:hanging="360"/>
      </w:pPr>
      <w:rPr>
        <w:rFonts w:ascii="Wingdings" w:hAnsi="Wingdings" w:hint="default"/>
      </w:rPr>
    </w:lvl>
    <w:lvl w:ilvl="8" w:tplc="4290D9F4" w:tentative="1">
      <w:start w:val="1"/>
      <w:numFmt w:val="bullet"/>
      <w:lvlText w:val=""/>
      <w:lvlJc w:val="left"/>
      <w:pPr>
        <w:tabs>
          <w:tab w:val="num" w:pos="6480"/>
        </w:tabs>
        <w:ind w:left="6480" w:hanging="360"/>
      </w:pPr>
      <w:rPr>
        <w:rFonts w:ascii="Wingdings" w:hAnsi="Wingdings" w:hint="default"/>
      </w:rPr>
    </w:lvl>
  </w:abstractNum>
  <w:abstractNum w:abstractNumId="13">
    <w:nsid w:val="312F0F15"/>
    <w:multiLevelType w:val="hybridMultilevel"/>
    <w:tmpl w:val="31C49276"/>
    <w:lvl w:ilvl="0" w:tplc="2ECA62BC">
      <w:start w:val="6"/>
      <w:numFmt w:val="japaneseCounting"/>
      <w:lvlText w:val="（%1）"/>
      <w:lvlJc w:val="left"/>
      <w:pPr>
        <w:ind w:left="1395" w:hanging="1080"/>
      </w:pPr>
      <w:rPr>
        <w:rFonts w:hint="default"/>
        <w:b/>
      </w:rPr>
    </w:lvl>
    <w:lvl w:ilvl="1" w:tplc="04090019" w:tentative="1">
      <w:start w:val="1"/>
      <w:numFmt w:val="lowerLetter"/>
      <w:lvlText w:val="%2)"/>
      <w:lvlJc w:val="left"/>
      <w:pPr>
        <w:ind w:left="1155" w:hanging="420"/>
      </w:pPr>
    </w:lvl>
    <w:lvl w:ilvl="2" w:tplc="0409001B" w:tentative="1">
      <w:start w:val="1"/>
      <w:numFmt w:val="lowerRoman"/>
      <w:lvlText w:val="%3."/>
      <w:lvlJc w:val="right"/>
      <w:pPr>
        <w:ind w:left="1575" w:hanging="420"/>
      </w:pPr>
    </w:lvl>
    <w:lvl w:ilvl="3" w:tplc="0409000F" w:tentative="1">
      <w:start w:val="1"/>
      <w:numFmt w:val="decimal"/>
      <w:lvlText w:val="%4."/>
      <w:lvlJc w:val="left"/>
      <w:pPr>
        <w:ind w:left="1995" w:hanging="420"/>
      </w:pPr>
    </w:lvl>
    <w:lvl w:ilvl="4" w:tplc="04090019" w:tentative="1">
      <w:start w:val="1"/>
      <w:numFmt w:val="lowerLetter"/>
      <w:lvlText w:val="%5)"/>
      <w:lvlJc w:val="left"/>
      <w:pPr>
        <w:ind w:left="2415" w:hanging="420"/>
      </w:pPr>
    </w:lvl>
    <w:lvl w:ilvl="5" w:tplc="0409001B" w:tentative="1">
      <w:start w:val="1"/>
      <w:numFmt w:val="lowerRoman"/>
      <w:lvlText w:val="%6."/>
      <w:lvlJc w:val="right"/>
      <w:pPr>
        <w:ind w:left="2835" w:hanging="420"/>
      </w:pPr>
    </w:lvl>
    <w:lvl w:ilvl="6" w:tplc="0409000F" w:tentative="1">
      <w:start w:val="1"/>
      <w:numFmt w:val="decimal"/>
      <w:lvlText w:val="%7."/>
      <w:lvlJc w:val="left"/>
      <w:pPr>
        <w:ind w:left="3255" w:hanging="420"/>
      </w:pPr>
    </w:lvl>
    <w:lvl w:ilvl="7" w:tplc="04090019" w:tentative="1">
      <w:start w:val="1"/>
      <w:numFmt w:val="lowerLetter"/>
      <w:lvlText w:val="%8)"/>
      <w:lvlJc w:val="left"/>
      <w:pPr>
        <w:ind w:left="3675" w:hanging="420"/>
      </w:pPr>
    </w:lvl>
    <w:lvl w:ilvl="8" w:tplc="0409001B" w:tentative="1">
      <w:start w:val="1"/>
      <w:numFmt w:val="lowerRoman"/>
      <w:lvlText w:val="%9."/>
      <w:lvlJc w:val="right"/>
      <w:pPr>
        <w:ind w:left="4095" w:hanging="420"/>
      </w:pPr>
    </w:lvl>
  </w:abstractNum>
  <w:abstractNum w:abstractNumId="14">
    <w:nsid w:val="31C8111A"/>
    <w:multiLevelType w:val="hybridMultilevel"/>
    <w:tmpl w:val="DDDE3CF6"/>
    <w:lvl w:ilvl="0" w:tplc="6F34C0EE">
      <w:start w:val="4"/>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15">
    <w:nsid w:val="3D4C4F6E"/>
    <w:multiLevelType w:val="hybridMultilevel"/>
    <w:tmpl w:val="062E73E2"/>
    <w:lvl w:ilvl="0" w:tplc="46A20A54">
      <w:start w:val="1"/>
      <w:numFmt w:val="bullet"/>
      <w:lvlText w:val=""/>
      <w:lvlJc w:val="left"/>
      <w:pPr>
        <w:tabs>
          <w:tab w:val="num" w:pos="720"/>
        </w:tabs>
        <w:ind w:left="720" w:hanging="360"/>
      </w:pPr>
      <w:rPr>
        <w:rFonts w:ascii="Wingdings" w:hAnsi="Wingdings" w:hint="default"/>
      </w:rPr>
    </w:lvl>
    <w:lvl w:ilvl="1" w:tplc="9B849A32" w:tentative="1">
      <w:start w:val="1"/>
      <w:numFmt w:val="bullet"/>
      <w:lvlText w:val=""/>
      <w:lvlJc w:val="left"/>
      <w:pPr>
        <w:tabs>
          <w:tab w:val="num" w:pos="1440"/>
        </w:tabs>
        <w:ind w:left="1440" w:hanging="360"/>
      </w:pPr>
      <w:rPr>
        <w:rFonts w:ascii="Wingdings" w:hAnsi="Wingdings" w:hint="default"/>
      </w:rPr>
    </w:lvl>
    <w:lvl w:ilvl="2" w:tplc="02E45868" w:tentative="1">
      <w:start w:val="1"/>
      <w:numFmt w:val="bullet"/>
      <w:lvlText w:val=""/>
      <w:lvlJc w:val="left"/>
      <w:pPr>
        <w:tabs>
          <w:tab w:val="num" w:pos="2160"/>
        </w:tabs>
        <w:ind w:left="2160" w:hanging="360"/>
      </w:pPr>
      <w:rPr>
        <w:rFonts w:ascii="Wingdings" w:hAnsi="Wingdings" w:hint="default"/>
      </w:rPr>
    </w:lvl>
    <w:lvl w:ilvl="3" w:tplc="2048ADD8" w:tentative="1">
      <w:start w:val="1"/>
      <w:numFmt w:val="bullet"/>
      <w:lvlText w:val=""/>
      <w:lvlJc w:val="left"/>
      <w:pPr>
        <w:tabs>
          <w:tab w:val="num" w:pos="2880"/>
        </w:tabs>
        <w:ind w:left="2880" w:hanging="360"/>
      </w:pPr>
      <w:rPr>
        <w:rFonts w:ascii="Wingdings" w:hAnsi="Wingdings" w:hint="default"/>
      </w:rPr>
    </w:lvl>
    <w:lvl w:ilvl="4" w:tplc="C44A04D6" w:tentative="1">
      <w:start w:val="1"/>
      <w:numFmt w:val="bullet"/>
      <w:lvlText w:val=""/>
      <w:lvlJc w:val="left"/>
      <w:pPr>
        <w:tabs>
          <w:tab w:val="num" w:pos="3600"/>
        </w:tabs>
        <w:ind w:left="3600" w:hanging="360"/>
      </w:pPr>
      <w:rPr>
        <w:rFonts w:ascii="Wingdings" w:hAnsi="Wingdings" w:hint="default"/>
      </w:rPr>
    </w:lvl>
    <w:lvl w:ilvl="5" w:tplc="BEA2DD40" w:tentative="1">
      <w:start w:val="1"/>
      <w:numFmt w:val="bullet"/>
      <w:lvlText w:val=""/>
      <w:lvlJc w:val="left"/>
      <w:pPr>
        <w:tabs>
          <w:tab w:val="num" w:pos="4320"/>
        </w:tabs>
        <w:ind w:left="4320" w:hanging="360"/>
      </w:pPr>
      <w:rPr>
        <w:rFonts w:ascii="Wingdings" w:hAnsi="Wingdings" w:hint="default"/>
      </w:rPr>
    </w:lvl>
    <w:lvl w:ilvl="6" w:tplc="7840D452" w:tentative="1">
      <w:start w:val="1"/>
      <w:numFmt w:val="bullet"/>
      <w:lvlText w:val=""/>
      <w:lvlJc w:val="left"/>
      <w:pPr>
        <w:tabs>
          <w:tab w:val="num" w:pos="5040"/>
        </w:tabs>
        <w:ind w:left="5040" w:hanging="360"/>
      </w:pPr>
      <w:rPr>
        <w:rFonts w:ascii="Wingdings" w:hAnsi="Wingdings" w:hint="default"/>
      </w:rPr>
    </w:lvl>
    <w:lvl w:ilvl="7" w:tplc="CA6C4CB8" w:tentative="1">
      <w:start w:val="1"/>
      <w:numFmt w:val="bullet"/>
      <w:lvlText w:val=""/>
      <w:lvlJc w:val="left"/>
      <w:pPr>
        <w:tabs>
          <w:tab w:val="num" w:pos="5760"/>
        </w:tabs>
        <w:ind w:left="5760" w:hanging="360"/>
      </w:pPr>
      <w:rPr>
        <w:rFonts w:ascii="Wingdings" w:hAnsi="Wingdings" w:hint="default"/>
      </w:rPr>
    </w:lvl>
    <w:lvl w:ilvl="8" w:tplc="9AC4D2CA" w:tentative="1">
      <w:start w:val="1"/>
      <w:numFmt w:val="bullet"/>
      <w:lvlText w:val=""/>
      <w:lvlJc w:val="left"/>
      <w:pPr>
        <w:tabs>
          <w:tab w:val="num" w:pos="6480"/>
        </w:tabs>
        <w:ind w:left="6480" w:hanging="360"/>
      </w:pPr>
      <w:rPr>
        <w:rFonts w:ascii="Wingdings" w:hAnsi="Wingdings" w:hint="default"/>
      </w:rPr>
    </w:lvl>
  </w:abstractNum>
  <w:abstractNum w:abstractNumId="16">
    <w:nsid w:val="3D535BFA"/>
    <w:multiLevelType w:val="hybridMultilevel"/>
    <w:tmpl w:val="52249556"/>
    <w:lvl w:ilvl="0" w:tplc="7EF4FA70">
      <w:start w:val="1"/>
      <w:numFmt w:val="japaneseCounting"/>
      <w:lvlText w:val="（%1）"/>
      <w:lvlJc w:val="left"/>
      <w:pPr>
        <w:ind w:left="1723" w:hanging="108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17">
    <w:nsid w:val="471C44CA"/>
    <w:multiLevelType w:val="hybridMultilevel"/>
    <w:tmpl w:val="96082CD6"/>
    <w:lvl w:ilvl="0" w:tplc="46DAAF74">
      <w:start w:val="4"/>
      <w:numFmt w:val="decimal"/>
      <w:lvlText w:val="%1、"/>
      <w:lvlJc w:val="left"/>
      <w:pPr>
        <w:ind w:left="1363"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18">
    <w:nsid w:val="4B862B9B"/>
    <w:multiLevelType w:val="hybridMultilevel"/>
    <w:tmpl w:val="FE8A7A4E"/>
    <w:lvl w:ilvl="0" w:tplc="CC821D4A">
      <w:start w:val="1"/>
      <w:numFmt w:val="japaneseCounting"/>
      <w:lvlText w:val="（%1）"/>
      <w:lvlJc w:val="left"/>
      <w:pPr>
        <w:ind w:left="1723" w:hanging="1080"/>
      </w:pPr>
      <w:rPr>
        <w:rFonts w:hint="default"/>
      </w:rPr>
    </w:lvl>
    <w:lvl w:ilvl="1" w:tplc="85CA07B0">
      <w:start w:val="1"/>
      <w:numFmt w:val="decimal"/>
      <w:lvlText w:val="%2、"/>
      <w:lvlJc w:val="left"/>
      <w:pPr>
        <w:ind w:left="1783" w:hanging="720"/>
      </w:pPr>
      <w:rPr>
        <w:rFonts w:hint="default"/>
      </w:r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19">
    <w:nsid w:val="4EEB48A4"/>
    <w:multiLevelType w:val="hybridMultilevel"/>
    <w:tmpl w:val="E0248AB4"/>
    <w:lvl w:ilvl="0" w:tplc="F6EA0D7E">
      <w:start w:val="3"/>
      <w:numFmt w:val="decimal"/>
      <w:lvlText w:val="%1、"/>
      <w:lvlJc w:val="left"/>
      <w:pPr>
        <w:ind w:left="1363"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20">
    <w:nsid w:val="517B150A"/>
    <w:multiLevelType w:val="hybridMultilevel"/>
    <w:tmpl w:val="F7EEE600"/>
    <w:lvl w:ilvl="0" w:tplc="8846569C">
      <w:start w:val="3"/>
      <w:numFmt w:val="decimal"/>
      <w:lvlText w:val="%1、"/>
      <w:lvlJc w:val="left"/>
      <w:pPr>
        <w:ind w:left="1363" w:hanging="720"/>
      </w:pPr>
      <w:rPr>
        <w:rFonts w:hint="default"/>
        <w:b/>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21">
    <w:nsid w:val="51AF759A"/>
    <w:multiLevelType w:val="hybridMultilevel"/>
    <w:tmpl w:val="986CE1E4"/>
    <w:lvl w:ilvl="0" w:tplc="5CE06F6A">
      <w:start w:val="2"/>
      <w:numFmt w:val="decimal"/>
      <w:lvlText w:val="%1、"/>
      <w:lvlJc w:val="left"/>
      <w:pPr>
        <w:ind w:left="1363"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22">
    <w:nsid w:val="56B9427A"/>
    <w:multiLevelType w:val="hybridMultilevel"/>
    <w:tmpl w:val="2F0C67BE"/>
    <w:lvl w:ilvl="0" w:tplc="76669BB6">
      <w:start w:val="3"/>
      <w:numFmt w:val="decimal"/>
      <w:lvlText w:val="%1、"/>
      <w:lvlJc w:val="left"/>
      <w:pPr>
        <w:ind w:left="1363"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23">
    <w:nsid w:val="5AD31969"/>
    <w:multiLevelType w:val="hybridMultilevel"/>
    <w:tmpl w:val="2012A5BA"/>
    <w:lvl w:ilvl="0" w:tplc="4614BAD4">
      <w:start w:val="1"/>
      <w:numFmt w:val="bullet"/>
      <w:lvlText w:val=""/>
      <w:lvlJc w:val="left"/>
      <w:pPr>
        <w:tabs>
          <w:tab w:val="num" w:pos="720"/>
        </w:tabs>
        <w:ind w:left="720" w:hanging="360"/>
      </w:pPr>
      <w:rPr>
        <w:rFonts w:ascii="Wingdings" w:hAnsi="Wingdings" w:hint="default"/>
      </w:rPr>
    </w:lvl>
    <w:lvl w:ilvl="1" w:tplc="02A6FAFA" w:tentative="1">
      <w:start w:val="1"/>
      <w:numFmt w:val="bullet"/>
      <w:lvlText w:val=""/>
      <w:lvlJc w:val="left"/>
      <w:pPr>
        <w:tabs>
          <w:tab w:val="num" w:pos="1440"/>
        </w:tabs>
        <w:ind w:left="1440" w:hanging="360"/>
      </w:pPr>
      <w:rPr>
        <w:rFonts w:ascii="Wingdings" w:hAnsi="Wingdings" w:hint="default"/>
      </w:rPr>
    </w:lvl>
    <w:lvl w:ilvl="2" w:tplc="D7A68B0A" w:tentative="1">
      <w:start w:val="1"/>
      <w:numFmt w:val="bullet"/>
      <w:lvlText w:val=""/>
      <w:lvlJc w:val="left"/>
      <w:pPr>
        <w:tabs>
          <w:tab w:val="num" w:pos="2160"/>
        </w:tabs>
        <w:ind w:left="2160" w:hanging="360"/>
      </w:pPr>
      <w:rPr>
        <w:rFonts w:ascii="Wingdings" w:hAnsi="Wingdings" w:hint="default"/>
      </w:rPr>
    </w:lvl>
    <w:lvl w:ilvl="3" w:tplc="65A86DC2" w:tentative="1">
      <w:start w:val="1"/>
      <w:numFmt w:val="bullet"/>
      <w:lvlText w:val=""/>
      <w:lvlJc w:val="left"/>
      <w:pPr>
        <w:tabs>
          <w:tab w:val="num" w:pos="2880"/>
        </w:tabs>
        <w:ind w:left="2880" w:hanging="360"/>
      </w:pPr>
      <w:rPr>
        <w:rFonts w:ascii="Wingdings" w:hAnsi="Wingdings" w:hint="default"/>
      </w:rPr>
    </w:lvl>
    <w:lvl w:ilvl="4" w:tplc="27B2375C" w:tentative="1">
      <w:start w:val="1"/>
      <w:numFmt w:val="bullet"/>
      <w:lvlText w:val=""/>
      <w:lvlJc w:val="left"/>
      <w:pPr>
        <w:tabs>
          <w:tab w:val="num" w:pos="3600"/>
        </w:tabs>
        <w:ind w:left="3600" w:hanging="360"/>
      </w:pPr>
      <w:rPr>
        <w:rFonts w:ascii="Wingdings" w:hAnsi="Wingdings" w:hint="default"/>
      </w:rPr>
    </w:lvl>
    <w:lvl w:ilvl="5" w:tplc="5062111E" w:tentative="1">
      <w:start w:val="1"/>
      <w:numFmt w:val="bullet"/>
      <w:lvlText w:val=""/>
      <w:lvlJc w:val="left"/>
      <w:pPr>
        <w:tabs>
          <w:tab w:val="num" w:pos="4320"/>
        </w:tabs>
        <w:ind w:left="4320" w:hanging="360"/>
      </w:pPr>
      <w:rPr>
        <w:rFonts w:ascii="Wingdings" w:hAnsi="Wingdings" w:hint="default"/>
      </w:rPr>
    </w:lvl>
    <w:lvl w:ilvl="6" w:tplc="F998CD92" w:tentative="1">
      <w:start w:val="1"/>
      <w:numFmt w:val="bullet"/>
      <w:lvlText w:val=""/>
      <w:lvlJc w:val="left"/>
      <w:pPr>
        <w:tabs>
          <w:tab w:val="num" w:pos="5040"/>
        </w:tabs>
        <w:ind w:left="5040" w:hanging="360"/>
      </w:pPr>
      <w:rPr>
        <w:rFonts w:ascii="Wingdings" w:hAnsi="Wingdings" w:hint="default"/>
      </w:rPr>
    </w:lvl>
    <w:lvl w:ilvl="7" w:tplc="CDD60B9E" w:tentative="1">
      <w:start w:val="1"/>
      <w:numFmt w:val="bullet"/>
      <w:lvlText w:val=""/>
      <w:lvlJc w:val="left"/>
      <w:pPr>
        <w:tabs>
          <w:tab w:val="num" w:pos="5760"/>
        </w:tabs>
        <w:ind w:left="5760" w:hanging="360"/>
      </w:pPr>
      <w:rPr>
        <w:rFonts w:ascii="Wingdings" w:hAnsi="Wingdings" w:hint="default"/>
      </w:rPr>
    </w:lvl>
    <w:lvl w:ilvl="8" w:tplc="F558F220" w:tentative="1">
      <w:start w:val="1"/>
      <w:numFmt w:val="bullet"/>
      <w:lvlText w:val=""/>
      <w:lvlJc w:val="left"/>
      <w:pPr>
        <w:tabs>
          <w:tab w:val="num" w:pos="6480"/>
        </w:tabs>
        <w:ind w:left="6480" w:hanging="360"/>
      </w:pPr>
      <w:rPr>
        <w:rFonts w:ascii="Wingdings" w:hAnsi="Wingdings" w:hint="default"/>
      </w:rPr>
    </w:lvl>
  </w:abstractNum>
  <w:abstractNum w:abstractNumId="24">
    <w:nsid w:val="5CC00250"/>
    <w:multiLevelType w:val="hybridMultilevel"/>
    <w:tmpl w:val="8CD40BD8"/>
    <w:lvl w:ilvl="0" w:tplc="7694AB98">
      <w:start w:val="2"/>
      <w:numFmt w:val="decimal"/>
      <w:lvlText w:val="%1、"/>
      <w:lvlJc w:val="left"/>
      <w:pPr>
        <w:ind w:left="1363"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25">
    <w:nsid w:val="65D72D34"/>
    <w:multiLevelType w:val="hybridMultilevel"/>
    <w:tmpl w:val="B5701482"/>
    <w:lvl w:ilvl="0" w:tplc="0AC21F52">
      <w:start w:val="1"/>
      <w:numFmt w:val="bullet"/>
      <w:lvlText w:val=""/>
      <w:lvlJc w:val="left"/>
      <w:pPr>
        <w:tabs>
          <w:tab w:val="num" w:pos="720"/>
        </w:tabs>
        <w:ind w:left="720" w:hanging="360"/>
      </w:pPr>
      <w:rPr>
        <w:rFonts w:ascii="Wingdings" w:hAnsi="Wingdings" w:hint="default"/>
      </w:rPr>
    </w:lvl>
    <w:lvl w:ilvl="1" w:tplc="07A49790" w:tentative="1">
      <w:start w:val="1"/>
      <w:numFmt w:val="bullet"/>
      <w:lvlText w:val=""/>
      <w:lvlJc w:val="left"/>
      <w:pPr>
        <w:tabs>
          <w:tab w:val="num" w:pos="1440"/>
        </w:tabs>
        <w:ind w:left="1440" w:hanging="360"/>
      </w:pPr>
      <w:rPr>
        <w:rFonts w:ascii="Wingdings" w:hAnsi="Wingdings" w:hint="default"/>
      </w:rPr>
    </w:lvl>
    <w:lvl w:ilvl="2" w:tplc="F02A1F7A" w:tentative="1">
      <w:start w:val="1"/>
      <w:numFmt w:val="bullet"/>
      <w:lvlText w:val=""/>
      <w:lvlJc w:val="left"/>
      <w:pPr>
        <w:tabs>
          <w:tab w:val="num" w:pos="2160"/>
        </w:tabs>
        <w:ind w:left="2160" w:hanging="360"/>
      </w:pPr>
      <w:rPr>
        <w:rFonts w:ascii="Wingdings" w:hAnsi="Wingdings" w:hint="default"/>
      </w:rPr>
    </w:lvl>
    <w:lvl w:ilvl="3" w:tplc="CFCE8BDE" w:tentative="1">
      <w:start w:val="1"/>
      <w:numFmt w:val="bullet"/>
      <w:lvlText w:val=""/>
      <w:lvlJc w:val="left"/>
      <w:pPr>
        <w:tabs>
          <w:tab w:val="num" w:pos="2880"/>
        </w:tabs>
        <w:ind w:left="2880" w:hanging="360"/>
      </w:pPr>
      <w:rPr>
        <w:rFonts w:ascii="Wingdings" w:hAnsi="Wingdings" w:hint="default"/>
      </w:rPr>
    </w:lvl>
    <w:lvl w:ilvl="4" w:tplc="6EEA8F6A" w:tentative="1">
      <w:start w:val="1"/>
      <w:numFmt w:val="bullet"/>
      <w:lvlText w:val=""/>
      <w:lvlJc w:val="left"/>
      <w:pPr>
        <w:tabs>
          <w:tab w:val="num" w:pos="3600"/>
        </w:tabs>
        <w:ind w:left="3600" w:hanging="360"/>
      </w:pPr>
      <w:rPr>
        <w:rFonts w:ascii="Wingdings" w:hAnsi="Wingdings" w:hint="default"/>
      </w:rPr>
    </w:lvl>
    <w:lvl w:ilvl="5" w:tplc="45E23D78" w:tentative="1">
      <w:start w:val="1"/>
      <w:numFmt w:val="bullet"/>
      <w:lvlText w:val=""/>
      <w:lvlJc w:val="left"/>
      <w:pPr>
        <w:tabs>
          <w:tab w:val="num" w:pos="4320"/>
        </w:tabs>
        <w:ind w:left="4320" w:hanging="360"/>
      </w:pPr>
      <w:rPr>
        <w:rFonts w:ascii="Wingdings" w:hAnsi="Wingdings" w:hint="default"/>
      </w:rPr>
    </w:lvl>
    <w:lvl w:ilvl="6" w:tplc="76EA7E38" w:tentative="1">
      <w:start w:val="1"/>
      <w:numFmt w:val="bullet"/>
      <w:lvlText w:val=""/>
      <w:lvlJc w:val="left"/>
      <w:pPr>
        <w:tabs>
          <w:tab w:val="num" w:pos="5040"/>
        </w:tabs>
        <w:ind w:left="5040" w:hanging="360"/>
      </w:pPr>
      <w:rPr>
        <w:rFonts w:ascii="Wingdings" w:hAnsi="Wingdings" w:hint="default"/>
      </w:rPr>
    </w:lvl>
    <w:lvl w:ilvl="7" w:tplc="8BA6D3CC" w:tentative="1">
      <w:start w:val="1"/>
      <w:numFmt w:val="bullet"/>
      <w:lvlText w:val=""/>
      <w:lvlJc w:val="left"/>
      <w:pPr>
        <w:tabs>
          <w:tab w:val="num" w:pos="5760"/>
        </w:tabs>
        <w:ind w:left="5760" w:hanging="360"/>
      </w:pPr>
      <w:rPr>
        <w:rFonts w:ascii="Wingdings" w:hAnsi="Wingdings" w:hint="default"/>
      </w:rPr>
    </w:lvl>
    <w:lvl w:ilvl="8" w:tplc="DED881C2" w:tentative="1">
      <w:start w:val="1"/>
      <w:numFmt w:val="bullet"/>
      <w:lvlText w:val=""/>
      <w:lvlJc w:val="left"/>
      <w:pPr>
        <w:tabs>
          <w:tab w:val="num" w:pos="6480"/>
        </w:tabs>
        <w:ind w:left="6480" w:hanging="360"/>
      </w:pPr>
      <w:rPr>
        <w:rFonts w:ascii="Wingdings" w:hAnsi="Wingdings" w:hint="default"/>
      </w:rPr>
    </w:lvl>
  </w:abstractNum>
  <w:abstractNum w:abstractNumId="26">
    <w:nsid w:val="6AD7078C"/>
    <w:multiLevelType w:val="hybridMultilevel"/>
    <w:tmpl w:val="72EE9A9C"/>
    <w:lvl w:ilvl="0" w:tplc="E54079D2">
      <w:start w:val="1"/>
      <w:numFmt w:val="bullet"/>
      <w:lvlText w:val=""/>
      <w:lvlJc w:val="left"/>
      <w:pPr>
        <w:tabs>
          <w:tab w:val="num" w:pos="720"/>
        </w:tabs>
        <w:ind w:left="720" w:hanging="360"/>
      </w:pPr>
      <w:rPr>
        <w:rFonts w:ascii="Wingdings" w:hAnsi="Wingdings" w:hint="default"/>
      </w:rPr>
    </w:lvl>
    <w:lvl w:ilvl="1" w:tplc="EE7827BA" w:tentative="1">
      <w:start w:val="1"/>
      <w:numFmt w:val="bullet"/>
      <w:lvlText w:val=""/>
      <w:lvlJc w:val="left"/>
      <w:pPr>
        <w:tabs>
          <w:tab w:val="num" w:pos="1440"/>
        </w:tabs>
        <w:ind w:left="1440" w:hanging="360"/>
      </w:pPr>
      <w:rPr>
        <w:rFonts w:ascii="Wingdings" w:hAnsi="Wingdings" w:hint="default"/>
      </w:rPr>
    </w:lvl>
    <w:lvl w:ilvl="2" w:tplc="60B8C810" w:tentative="1">
      <w:start w:val="1"/>
      <w:numFmt w:val="bullet"/>
      <w:lvlText w:val=""/>
      <w:lvlJc w:val="left"/>
      <w:pPr>
        <w:tabs>
          <w:tab w:val="num" w:pos="2160"/>
        </w:tabs>
        <w:ind w:left="2160" w:hanging="360"/>
      </w:pPr>
      <w:rPr>
        <w:rFonts w:ascii="Wingdings" w:hAnsi="Wingdings" w:hint="default"/>
      </w:rPr>
    </w:lvl>
    <w:lvl w:ilvl="3" w:tplc="9A9A80F6" w:tentative="1">
      <w:start w:val="1"/>
      <w:numFmt w:val="bullet"/>
      <w:lvlText w:val=""/>
      <w:lvlJc w:val="left"/>
      <w:pPr>
        <w:tabs>
          <w:tab w:val="num" w:pos="2880"/>
        </w:tabs>
        <w:ind w:left="2880" w:hanging="360"/>
      </w:pPr>
      <w:rPr>
        <w:rFonts w:ascii="Wingdings" w:hAnsi="Wingdings" w:hint="default"/>
      </w:rPr>
    </w:lvl>
    <w:lvl w:ilvl="4" w:tplc="004A8938" w:tentative="1">
      <w:start w:val="1"/>
      <w:numFmt w:val="bullet"/>
      <w:lvlText w:val=""/>
      <w:lvlJc w:val="left"/>
      <w:pPr>
        <w:tabs>
          <w:tab w:val="num" w:pos="3600"/>
        </w:tabs>
        <w:ind w:left="3600" w:hanging="360"/>
      </w:pPr>
      <w:rPr>
        <w:rFonts w:ascii="Wingdings" w:hAnsi="Wingdings" w:hint="default"/>
      </w:rPr>
    </w:lvl>
    <w:lvl w:ilvl="5" w:tplc="8EEEE94E" w:tentative="1">
      <w:start w:val="1"/>
      <w:numFmt w:val="bullet"/>
      <w:lvlText w:val=""/>
      <w:lvlJc w:val="left"/>
      <w:pPr>
        <w:tabs>
          <w:tab w:val="num" w:pos="4320"/>
        </w:tabs>
        <w:ind w:left="4320" w:hanging="360"/>
      </w:pPr>
      <w:rPr>
        <w:rFonts w:ascii="Wingdings" w:hAnsi="Wingdings" w:hint="default"/>
      </w:rPr>
    </w:lvl>
    <w:lvl w:ilvl="6" w:tplc="D7404F16" w:tentative="1">
      <w:start w:val="1"/>
      <w:numFmt w:val="bullet"/>
      <w:lvlText w:val=""/>
      <w:lvlJc w:val="left"/>
      <w:pPr>
        <w:tabs>
          <w:tab w:val="num" w:pos="5040"/>
        </w:tabs>
        <w:ind w:left="5040" w:hanging="360"/>
      </w:pPr>
      <w:rPr>
        <w:rFonts w:ascii="Wingdings" w:hAnsi="Wingdings" w:hint="default"/>
      </w:rPr>
    </w:lvl>
    <w:lvl w:ilvl="7" w:tplc="5AF4AC5E" w:tentative="1">
      <w:start w:val="1"/>
      <w:numFmt w:val="bullet"/>
      <w:lvlText w:val=""/>
      <w:lvlJc w:val="left"/>
      <w:pPr>
        <w:tabs>
          <w:tab w:val="num" w:pos="5760"/>
        </w:tabs>
        <w:ind w:left="5760" w:hanging="360"/>
      </w:pPr>
      <w:rPr>
        <w:rFonts w:ascii="Wingdings" w:hAnsi="Wingdings" w:hint="default"/>
      </w:rPr>
    </w:lvl>
    <w:lvl w:ilvl="8" w:tplc="3D7C187A" w:tentative="1">
      <w:start w:val="1"/>
      <w:numFmt w:val="bullet"/>
      <w:lvlText w:val=""/>
      <w:lvlJc w:val="left"/>
      <w:pPr>
        <w:tabs>
          <w:tab w:val="num" w:pos="6480"/>
        </w:tabs>
        <w:ind w:left="6480" w:hanging="360"/>
      </w:pPr>
      <w:rPr>
        <w:rFonts w:ascii="Wingdings" w:hAnsi="Wingdings" w:hint="default"/>
      </w:rPr>
    </w:lvl>
  </w:abstractNum>
  <w:abstractNum w:abstractNumId="27">
    <w:nsid w:val="6E017E2C"/>
    <w:multiLevelType w:val="hybridMultilevel"/>
    <w:tmpl w:val="7EEA47D8"/>
    <w:lvl w:ilvl="0" w:tplc="89A27292">
      <w:start w:val="1"/>
      <w:numFmt w:val="bullet"/>
      <w:lvlText w:val=""/>
      <w:lvlJc w:val="left"/>
      <w:pPr>
        <w:tabs>
          <w:tab w:val="num" w:pos="720"/>
        </w:tabs>
        <w:ind w:left="720" w:hanging="360"/>
      </w:pPr>
      <w:rPr>
        <w:rFonts w:ascii="Wingdings" w:hAnsi="Wingdings" w:hint="default"/>
      </w:rPr>
    </w:lvl>
    <w:lvl w:ilvl="1" w:tplc="EB6ACC3E" w:tentative="1">
      <w:start w:val="1"/>
      <w:numFmt w:val="bullet"/>
      <w:lvlText w:val=""/>
      <w:lvlJc w:val="left"/>
      <w:pPr>
        <w:tabs>
          <w:tab w:val="num" w:pos="1440"/>
        </w:tabs>
        <w:ind w:left="1440" w:hanging="360"/>
      </w:pPr>
      <w:rPr>
        <w:rFonts w:ascii="Wingdings" w:hAnsi="Wingdings" w:hint="default"/>
      </w:rPr>
    </w:lvl>
    <w:lvl w:ilvl="2" w:tplc="05B403B8" w:tentative="1">
      <w:start w:val="1"/>
      <w:numFmt w:val="bullet"/>
      <w:lvlText w:val=""/>
      <w:lvlJc w:val="left"/>
      <w:pPr>
        <w:tabs>
          <w:tab w:val="num" w:pos="2160"/>
        </w:tabs>
        <w:ind w:left="2160" w:hanging="360"/>
      </w:pPr>
      <w:rPr>
        <w:rFonts w:ascii="Wingdings" w:hAnsi="Wingdings" w:hint="default"/>
      </w:rPr>
    </w:lvl>
    <w:lvl w:ilvl="3" w:tplc="253CE592" w:tentative="1">
      <w:start w:val="1"/>
      <w:numFmt w:val="bullet"/>
      <w:lvlText w:val=""/>
      <w:lvlJc w:val="left"/>
      <w:pPr>
        <w:tabs>
          <w:tab w:val="num" w:pos="2880"/>
        </w:tabs>
        <w:ind w:left="2880" w:hanging="360"/>
      </w:pPr>
      <w:rPr>
        <w:rFonts w:ascii="Wingdings" w:hAnsi="Wingdings" w:hint="default"/>
      </w:rPr>
    </w:lvl>
    <w:lvl w:ilvl="4" w:tplc="A002D604" w:tentative="1">
      <w:start w:val="1"/>
      <w:numFmt w:val="bullet"/>
      <w:lvlText w:val=""/>
      <w:lvlJc w:val="left"/>
      <w:pPr>
        <w:tabs>
          <w:tab w:val="num" w:pos="3600"/>
        </w:tabs>
        <w:ind w:left="3600" w:hanging="360"/>
      </w:pPr>
      <w:rPr>
        <w:rFonts w:ascii="Wingdings" w:hAnsi="Wingdings" w:hint="default"/>
      </w:rPr>
    </w:lvl>
    <w:lvl w:ilvl="5" w:tplc="F0348AEE" w:tentative="1">
      <w:start w:val="1"/>
      <w:numFmt w:val="bullet"/>
      <w:lvlText w:val=""/>
      <w:lvlJc w:val="left"/>
      <w:pPr>
        <w:tabs>
          <w:tab w:val="num" w:pos="4320"/>
        </w:tabs>
        <w:ind w:left="4320" w:hanging="360"/>
      </w:pPr>
      <w:rPr>
        <w:rFonts w:ascii="Wingdings" w:hAnsi="Wingdings" w:hint="default"/>
      </w:rPr>
    </w:lvl>
    <w:lvl w:ilvl="6" w:tplc="2E6E78CE" w:tentative="1">
      <w:start w:val="1"/>
      <w:numFmt w:val="bullet"/>
      <w:lvlText w:val=""/>
      <w:lvlJc w:val="left"/>
      <w:pPr>
        <w:tabs>
          <w:tab w:val="num" w:pos="5040"/>
        </w:tabs>
        <w:ind w:left="5040" w:hanging="360"/>
      </w:pPr>
      <w:rPr>
        <w:rFonts w:ascii="Wingdings" w:hAnsi="Wingdings" w:hint="default"/>
      </w:rPr>
    </w:lvl>
    <w:lvl w:ilvl="7" w:tplc="D504929C" w:tentative="1">
      <w:start w:val="1"/>
      <w:numFmt w:val="bullet"/>
      <w:lvlText w:val=""/>
      <w:lvlJc w:val="left"/>
      <w:pPr>
        <w:tabs>
          <w:tab w:val="num" w:pos="5760"/>
        </w:tabs>
        <w:ind w:left="5760" w:hanging="360"/>
      </w:pPr>
      <w:rPr>
        <w:rFonts w:ascii="Wingdings" w:hAnsi="Wingdings" w:hint="default"/>
      </w:rPr>
    </w:lvl>
    <w:lvl w:ilvl="8" w:tplc="17C4F780" w:tentative="1">
      <w:start w:val="1"/>
      <w:numFmt w:val="bullet"/>
      <w:lvlText w:val=""/>
      <w:lvlJc w:val="left"/>
      <w:pPr>
        <w:tabs>
          <w:tab w:val="num" w:pos="6480"/>
        </w:tabs>
        <w:ind w:left="6480" w:hanging="360"/>
      </w:pPr>
      <w:rPr>
        <w:rFonts w:ascii="Wingdings" w:hAnsi="Wingdings" w:hint="default"/>
      </w:rPr>
    </w:lvl>
  </w:abstractNum>
  <w:abstractNum w:abstractNumId="28">
    <w:nsid w:val="736D6AE8"/>
    <w:multiLevelType w:val="hybridMultilevel"/>
    <w:tmpl w:val="B77E0804"/>
    <w:lvl w:ilvl="0" w:tplc="FBF44836">
      <w:start w:val="3"/>
      <w:numFmt w:val="decimal"/>
      <w:lvlText w:val="%1、"/>
      <w:lvlJc w:val="left"/>
      <w:pPr>
        <w:ind w:left="1363" w:hanging="720"/>
      </w:pPr>
      <w:rPr>
        <w:rFonts w:hint="default"/>
        <w:b/>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29">
    <w:nsid w:val="78F47F93"/>
    <w:multiLevelType w:val="hybridMultilevel"/>
    <w:tmpl w:val="B2169E6E"/>
    <w:lvl w:ilvl="0" w:tplc="3DE6FDC2">
      <w:start w:val="3"/>
      <w:numFmt w:val="decimal"/>
      <w:lvlText w:val="%1、"/>
      <w:lvlJc w:val="left"/>
      <w:pPr>
        <w:ind w:left="1363"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30">
    <w:nsid w:val="7BF82AE0"/>
    <w:multiLevelType w:val="hybridMultilevel"/>
    <w:tmpl w:val="40102F32"/>
    <w:lvl w:ilvl="0" w:tplc="19B82C6C">
      <w:start w:val="1"/>
      <w:numFmt w:val="bullet"/>
      <w:lvlText w:val=""/>
      <w:lvlJc w:val="left"/>
      <w:pPr>
        <w:tabs>
          <w:tab w:val="num" w:pos="720"/>
        </w:tabs>
        <w:ind w:left="720" w:hanging="360"/>
      </w:pPr>
      <w:rPr>
        <w:rFonts w:ascii="Wingdings" w:hAnsi="Wingdings" w:hint="default"/>
      </w:rPr>
    </w:lvl>
    <w:lvl w:ilvl="1" w:tplc="70223A72" w:tentative="1">
      <w:start w:val="1"/>
      <w:numFmt w:val="bullet"/>
      <w:lvlText w:val=""/>
      <w:lvlJc w:val="left"/>
      <w:pPr>
        <w:tabs>
          <w:tab w:val="num" w:pos="1440"/>
        </w:tabs>
        <w:ind w:left="1440" w:hanging="360"/>
      </w:pPr>
      <w:rPr>
        <w:rFonts w:ascii="Wingdings" w:hAnsi="Wingdings" w:hint="default"/>
      </w:rPr>
    </w:lvl>
    <w:lvl w:ilvl="2" w:tplc="82322764" w:tentative="1">
      <w:start w:val="1"/>
      <w:numFmt w:val="bullet"/>
      <w:lvlText w:val=""/>
      <w:lvlJc w:val="left"/>
      <w:pPr>
        <w:tabs>
          <w:tab w:val="num" w:pos="2160"/>
        </w:tabs>
        <w:ind w:left="2160" w:hanging="360"/>
      </w:pPr>
      <w:rPr>
        <w:rFonts w:ascii="Wingdings" w:hAnsi="Wingdings" w:hint="default"/>
      </w:rPr>
    </w:lvl>
    <w:lvl w:ilvl="3" w:tplc="993E8224" w:tentative="1">
      <w:start w:val="1"/>
      <w:numFmt w:val="bullet"/>
      <w:lvlText w:val=""/>
      <w:lvlJc w:val="left"/>
      <w:pPr>
        <w:tabs>
          <w:tab w:val="num" w:pos="2880"/>
        </w:tabs>
        <w:ind w:left="2880" w:hanging="360"/>
      </w:pPr>
      <w:rPr>
        <w:rFonts w:ascii="Wingdings" w:hAnsi="Wingdings" w:hint="default"/>
      </w:rPr>
    </w:lvl>
    <w:lvl w:ilvl="4" w:tplc="0B006AF8" w:tentative="1">
      <w:start w:val="1"/>
      <w:numFmt w:val="bullet"/>
      <w:lvlText w:val=""/>
      <w:lvlJc w:val="left"/>
      <w:pPr>
        <w:tabs>
          <w:tab w:val="num" w:pos="3600"/>
        </w:tabs>
        <w:ind w:left="3600" w:hanging="360"/>
      </w:pPr>
      <w:rPr>
        <w:rFonts w:ascii="Wingdings" w:hAnsi="Wingdings" w:hint="default"/>
      </w:rPr>
    </w:lvl>
    <w:lvl w:ilvl="5" w:tplc="0A0A5FB2" w:tentative="1">
      <w:start w:val="1"/>
      <w:numFmt w:val="bullet"/>
      <w:lvlText w:val=""/>
      <w:lvlJc w:val="left"/>
      <w:pPr>
        <w:tabs>
          <w:tab w:val="num" w:pos="4320"/>
        </w:tabs>
        <w:ind w:left="4320" w:hanging="360"/>
      </w:pPr>
      <w:rPr>
        <w:rFonts w:ascii="Wingdings" w:hAnsi="Wingdings" w:hint="default"/>
      </w:rPr>
    </w:lvl>
    <w:lvl w:ilvl="6" w:tplc="BABC30CA" w:tentative="1">
      <w:start w:val="1"/>
      <w:numFmt w:val="bullet"/>
      <w:lvlText w:val=""/>
      <w:lvlJc w:val="left"/>
      <w:pPr>
        <w:tabs>
          <w:tab w:val="num" w:pos="5040"/>
        </w:tabs>
        <w:ind w:left="5040" w:hanging="360"/>
      </w:pPr>
      <w:rPr>
        <w:rFonts w:ascii="Wingdings" w:hAnsi="Wingdings" w:hint="default"/>
      </w:rPr>
    </w:lvl>
    <w:lvl w:ilvl="7" w:tplc="04BE5ACE" w:tentative="1">
      <w:start w:val="1"/>
      <w:numFmt w:val="bullet"/>
      <w:lvlText w:val=""/>
      <w:lvlJc w:val="left"/>
      <w:pPr>
        <w:tabs>
          <w:tab w:val="num" w:pos="5760"/>
        </w:tabs>
        <w:ind w:left="5760" w:hanging="360"/>
      </w:pPr>
      <w:rPr>
        <w:rFonts w:ascii="Wingdings" w:hAnsi="Wingdings" w:hint="default"/>
      </w:rPr>
    </w:lvl>
    <w:lvl w:ilvl="8" w:tplc="11286D1C" w:tentative="1">
      <w:start w:val="1"/>
      <w:numFmt w:val="bullet"/>
      <w:lvlText w:val=""/>
      <w:lvlJc w:val="left"/>
      <w:pPr>
        <w:tabs>
          <w:tab w:val="num" w:pos="6480"/>
        </w:tabs>
        <w:ind w:left="6480" w:hanging="360"/>
      </w:pPr>
      <w:rPr>
        <w:rFonts w:ascii="Wingdings" w:hAnsi="Wingdings" w:hint="default"/>
      </w:rPr>
    </w:lvl>
  </w:abstractNum>
  <w:abstractNum w:abstractNumId="31">
    <w:nsid w:val="7FB526DA"/>
    <w:multiLevelType w:val="hybridMultilevel"/>
    <w:tmpl w:val="71F2D1A8"/>
    <w:lvl w:ilvl="0" w:tplc="B9AC7ACE">
      <w:start w:val="1"/>
      <w:numFmt w:val="bullet"/>
      <w:lvlText w:val=""/>
      <w:lvlJc w:val="left"/>
      <w:pPr>
        <w:tabs>
          <w:tab w:val="num" w:pos="720"/>
        </w:tabs>
        <w:ind w:left="720" w:hanging="360"/>
      </w:pPr>
      <w:rPr>
        <w:rFonts w:ascii="Wingdings" w:hAnsi="Wingdings" w:hint="default"/>
      </w:rPr>
    </w:lvl>
    <w:lvl w:ilvl="1" w:tplc="8CE83E60" w:tentative="1">
      <w:start w:val="1"/>
      <w:numFmt w:val="bullet"/>
      <w:lvlText w:val=""/>
      <w:lvlJc w:val="left"/>
      <w:pPr>
        <w:tabs>
          <w:tab w:val="num" w:pos="1440"/>
        </w:tabs>
        <w:ind w:left="1440" w:hanging="360"/>
      </w:pPr>
      <w:rPr>
        <w:rFonts w:ascii="Wingdings" w:hAnsi="Wingdings" w:hint="default"/>
      </w:rPr>
    </w:lvl>
    <w:lvl w:ilvl="2" w:tplc="539E5D5A" w:tentative="1">
      <w:start w:val="1"/>
      <w:numFmt w:val="bullet"/>
      <w:lvlText w:val=""/>
      <w:lvlJc w:val="left"/>
      <w:pPr>
        <w:tabs>
          <w:tab w:val="num" w:pos="2160"/>
        </w:tabs>
        <w:ind w:left="2160" w:hanging="360"/>
      </w:pPr>
      <w:rPr>
        <w:rFonts w:ascii="Wingdings" w:hAnsi="Wingdings" w:hint="default"/>
      </w:rPr>
    </w:lvl>
    <w:lvl w:ilvl="3" w:tplc="A19663DC" w:tentative="1">
      <w:start w:val="1"/>
      <w:numFmt w:val="bullet"/>
      <w:lvlText w:val=""/>
      <w:lvlJc w:val="left"/>
      <w:pPr>
        <w:tabs>
          <w:tab w:val="num" w:pos="2880"/>
        </w:tabs>
        <w:ind w:left="2880" w:hanging="360"/>
      </w:pPr>
      <w:rPr>
        <w:rFonts w:ascii="Wingdings" w:hAnsi="Wingdings" w:hint="default"/>
      </w:rPr>
    </w:lvl>
    <w:lvl w:ilvl="4" w:tplc="71F2D342" w:tentative="1">
      <w:start w:val="1"/>
      <w:numFmt w:val="bullet"/>
      <w:lvlText w:val=""/>
      <w:lvlJc w:val="left"/>
      <w:pPr>
        <w:tabs>
          <w:tab w:val="num" w:pos="3600"/>
        </w:tabs>
        <w:ind w:left="3600" w:hanging="360"/>
      </w:pPr>
      <w:rPr>
        <w:rFonts w:ascii="Wingdings" w:hAnsi="Wingdings" w:hint="default"/>
      </w:rPr>
    </w:lvl>
    <w:lvl w:ilvl="5" w:tplc="47285E40" w:tentative="1">
      <w:start w:val="1"/>
      <w:numFmt w:val="bullet"/>
      <w:lvlText w:val=""/>
      <w:lvlJc w:val="left"/>
      <w:pPr>
        <w:tabs>
          <w:tab w:val="num" w:pos="4320"/>
        </w:tabs>
        <w:ind w:left="4320" w:hanging="360"/>
      </w:pPr>
      <w:rPr>
        <w:rFonts w:ascii="Wingdings" w:hAnsi="Wingdings" w:hint="default"/>
      </w:rPr>
    </w:lvl>
    <w:lvl w:ilvl="6" w:tplc="29445EA8" w:tentative="1">
      <w:start w:val="1"/>
      <w:numFmt w:val="bullet"/>
      <w:lvlText w:val=""/>
      <w:lvlJc w:val="left"/>
      <w:pPr>
        <w:tabs>
          <w:tab w:val="num" w:pos="5040"/>
        </w:tabs>
        <w:ind w:left="5040" w:hanging="360"/>
      </w:pPr>
      <w:rPr>
        <w:rFonts w:ascii="Wingdings" w:hAnsi="Wingdings" w:hint="default"/>
      </w:rPr>
    </w:lvl>
    <w:lvl w:ilvl="7" w:tplc="B6C89096" w:tentative="1">
      <w:start w:val="1"/>
      <w:numFmt w:val="bullet"/>
      <w:lvlText w:val=""/>
      <w:lvlJc w:val="left"/>
      <w:pPr>
        <w:tabs>
          <w:tab w:val="num" w:pos="5760"/>
        </w:tabs>
        <w:ind w:left="5760" w:hanging="360"/>
      </w:pPr>
      <w:rPr>
        <w:rFonts w:ascii="Wingdings" w:hAnsi="Wingdings" w:hint="default"/>
      </w:rPr>
    </w:lvl>
    <w:lvl w:ilvl="8" w:tplc="67E084CC"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27"/>
  </w:num>
  <w:num w:numId="3">
    <w:abstractNumId w:val="20"/>
  </w:num>
  <w:num w:numId="4">
    <w:abstractNumId w:val="13"/>
  </w:num>
  <w:num w:numId="5">
    <w:abstractNumId w:val="14"/>
  </w:num>
  <w:num w:numId="6">
    <w:abstractNumId w:val="18"/>
  </w:num>
  <w:num w:numId="7">
    <w:abstractNumId w:val="12"/>
  </w:num>
  <w:num w:numId="8">
    <w:abstractNumId w:val="11"/>
  </w:num>
  <w:num w:numId="9">
    <w:abstractNumId w:val="10"/>
  </w:num>
  <w:num w:numId="10">
    <w:abstractNumId w:val="22"/>
  </w:num>
  <w:num w:numId="11">
    <w:abstractNumId w:val="19"/>
  </w:num>
  <w:num w:numId="12">
    <w:abstractNumId w:val="17"/>
  </w:num>
  <w:num w:numId="13">
    <w:abstractNumId w:val="4"/>
  </w:num>
  <w:num w:numId="14">
    <w:abstractNumId w:val="24"/>
  </w:num>
  <w:num w:numId="15">
    <w:abstractNumId w:val="5"/>
  </w:num>
  <w:num w:numId="16">
    <w:abstractNumId w:val="30"/>
  </w:num>
  <w:num w:numId="17">
    <w:abstractNumId w:val="1"/>
  </w:num>
  <w:num w:numId="18">
    <w:abstractNumId w:val="7"/>
  </w:num>
  <w:num w:numId="19">
    <w:abstractNumId w:val="25"/>
  </w:num>
  <w:num w:numId="20">
    <w:abstractNumId w:val="3"/>
  </w:num>
  <w:num w:numId="21">
    <w:abstractNumId w:val="15"/>
  </w:num>
  <w:num w:numId="22">
    <w:abstractNumId w:val="6"/>
  </w:num>
  <w:num w:numId="23">
    <w:abstractNumId w:val="21"/>
  </w:num>
  <w:num w:numId="24">
    <w:abstractNumId w:val="29"/>
  </w:num>
  <w:num w:numId="25">
    <w:abstractNumId w:val="0"/>
  </w:num>
  <w:num w:numId="26">
    <w:abstractNumId w:val="28"/>
  </w:num>
  <w:num w:numId="27">
    <w:abstractNumId w:val="23"/>
  </w:num>
  <w:num w:numId="28">
    <w:abstractNumId w:val="9"/>
  </w:num>
  <w:num w:numId="29">
    <w:abstractNumId w:val="31"/>
  </w:num>
  <w:num w:numId="30">
    <w:abstractNumId w:val="26"/>
  </w:num>
  <w:num w:numId="31">
    <w:abstractNumId w:val="2"/>
  </w:num>
  <w:num w:numId="32">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o:colormru v:ext="edit" colors="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C2F"/>
    <w:rsid w:val="000207F5"/>
    <w:rsid w:val="00027B17"/>
    <w:rsid w:val="00044A15"/>
    <w:rsid w:val="00045FB2"/>
    <w:rsid w:val="00054024"/>
    <w:rsid w:val="000651B2"/>
    <w:rsid w:val="000B3E56"/>
    <w:rsid w:val="000B570F"/>
    <w:rsid w:val="000C2504"/>
    <w:rsid w:val="000C6BE9"/>
    <w:rsid w:val="000D2D63"/>
    <w:rsid w:val="00100524"/>
    <w:rsid w:val="00110EF5"/>
    <w:rsid w:val="0011664A"/>
    <w:rsid w:val="00167664"/>
    <w:rsid w:val="00176496"/>
    <w:rsid w:val="001B5487"/>
    <w:rsid w:val="001D14F8"/>
    <w:rsid w:val="001D41B3"/>
    <w:rsid w:val="001D554A"/>
    <w:rsid w:val="001F45CB"/>
    <w:rsid w:val="00201420"/>
    <w:rsid w:val="00203AE1"/>
    <w:rsid w:val="00226BD9"/>
    <w:rsid w:val="00226C07"/>
    <w:rsid w:val="002426F0"/>
    <w:rsid w:val="002A5AEB"/>
    <w:rsid w:val="002C083C"/>
    <w:rsid w:val="002C0FD7"/>
    <w:rsid w:val="002D25A3"/>
    <w:rsid w:val="00300EF7"/>
    <w:rsid w:val="00301D84"/>
    <w:rsid w:val="00325A8E"/>
    <w:rsid w:val="00342C4F"/>
    <w:rsid w:val="0035091E"/>
    <w:rsid w:val="0037004A"/>
    <w:rsid w:val="0037664A"/>
    <w:rsid w:val="003D5FAA"/>
    <w:rsid w:val="003D6E3A"/>
    <w:rsid w:val="003E5F9B"/>
    <w:rsid w:val="00416ABB"/>
    <w:rsid w:val="00455BE6"/>
    <w:rsid w:val="00464EEA"/>
    <w:rsid w:val="00475AA4"/>
    <w:rsid w:val="00540591"/>
    <w:rsid w:val="005714B4"/>
    <w:rsid w:val="005828B5"/>
    <w:rsid w:val="005E52A1"/>
    <w:rsid w:val="005F663B"/>
    <w:rsid w:val="00601628"/>
    <w:rsid w:val="00605B0F"/>
    <w:rsid w:val="006145A4"/>
    <w:rsid w:val="006253E5"/>
    <w:rsid w:val="00664C50"/>
    <w:rsid w:val="006833B9"/>
    <w:rsid w:val="00684AC9"/>
    <w:rsid w:val="006859F8"/>
    <w:rsid w:val="006925EE"/>
    <w:rsid w:val="006D3EC1"/>
    <w:rsid w:val="00703FBF"/>
    <w:rsid w:val="00720581"/>
    <w:rsid w:val="00724E22"/>
    <w:rsid w:val="00760F25"/>
    <w:rsid w:val="007616EC"/>
    <w:rsid w:val="007910D5"/>
    <w:rsid w:val="00793C3D"/>
    <w:rsid w:val="007B1741"/>
    <w:rsid w:val="007D7D5A"/>
    <w:rsid w:val="007E024A"/>
    <w:rsid w:val="007E4BCE"/>
    <w:rsid w:val="00832742"/>
    <w:rsid w:val="00840C3C"/>
    <w:rsid w:val="00854149"/>
    <w:rsid w:val="008553A0"/>
    <w:rsid w:val="008638D5"/>
    <w:rsid w:val="00890947"/>
    <w:rsid w:val="008A2D39"/>
    <w:rsid w:val="008F67B4"/>
    <w:rsid w:val="008F6D5F"/>
    <w:rsid w:val="008F72BB"/>
    <w:rsid w:val="00905CAC"/>
    <w:rsid w:val="00921BB2"/>
    <w:rsid w:val="00933564"/>
    <w:rsid w:val="00935600"/>
    <w:rsid w:val="00950ACA"/>
    <w:rsid w:val="00962085"/>
    <w:rsid w:val="0096247E"/>
    <w:rsid w:val="00970A53"/>
    <w:rsid w:val="009823D0"/>
    <w:rsid w:val="0098537C"/>
    <w:rsid w:val="009945CE"/>
    <w:rsid w:val="009C7568"/>
    <w:rsid w:val="009E129A"/>
    <w:rsid w:val="009F0155"/>
    <w:rsid w:val="00A03423"/>
    <w:rsid w:val="00A115D4"/>
    <w:rsid w:val="00A51C13"/>
    <w:rsid w:val="00A55D06"/>
    <w:rsid w:val="00A62626"/>
    <w:rsid w:val="00A93B98"/>
    <w:rsid w:val="00A95388"/>
    <w:rsid w:val="00AB29AC"/>
    <w:rsid w:val="00AC6DEA"/>
    <w:rsid w:val="00AE0218"/>
    <w:rsid w:val="00B46AAC"/>
    <w:rsid w:val="00B52ADD"/>
    <w:rsid w:val="00B5553D"/>
    <w:rsid w:val="00B65FF4"/>
    <w:rsid w:val="00B727E1"/>
    <w:rsid w:val="00BA2392"/>
    <w:rsid w:val="00BA719D"/>
    <w:rsid w:val="00BC04B0"/>
    <w:rsid w:val="00BF178E"/>
    <w:rsid w:val="00BF4E2B"/>
    <w:rsid w:val="00BF63F8"/>
    <w:rsid w:val="00C454AA"/>
    <w:rsid w:val="00C73DBA"/>
    <w:rsid w:val="00C86092"/>
    <w:rsid w:val="00CB7E90"/>
    <w:rsid w:val="00CF6CE1"/>
    <w:rsid w:val="00D3551D"/>
    <w:rsid w:val="00D418F3"/>
    <w:rsid w:val="00D462F9"/>
    <w:rsid w:val="00D5221F"/>
    <w:rsid w:val="00D966D3"/>
    <w:rsid w:val="00DA1E9C"/>
    <w:rsid w:val="00DB5FC6"/>
    <w:rsid w:val="00DD06F0"/>
    <w:rsid w:val="00DD4272"/>
    <w:rsid w:val="00DD6512"/>
    <w:rsid w:val="00DF7EF9"/>
    <w:rsid w:val="00E070B7"/>
    <w:rsid w:val="00E1497E"/>
    <w:rsid w:val="00E224B1"/>
    <w:rsid w:val="00E33C4E"/>
    <w:rsid w:val="00E67B12"/>
    <w:rsid w:val="00EB2C77"/>
    <w:rsid w:val="00EF5EF6"/>
    <w:rsid w:val="00F07BF1"/>
    <w:rsid w:val="00F531C7"/>
    <w:rsid w:val="00F65199"/>
    <w:rsid w:val="00F65242"/>
    <w:rsid w:val="00F8056E"/>
    <w:rsid w:val="00F836E1"/>
    <w:rsid w:val="00FB3C2F"/>
    <w:rsid w:val="00FB567E"/>
    <w:rsid w:val="00FE1D2D"/>
    <w:rsid w:val="00FF6C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D5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6D5F"/>
    <w:pPr>
      <w:ind w:firstLineChars="200" w:firstLine="420"/>
    </w:pPr>
  </w:style>
  <w:style w:type="paragraph" w:styleId="a4">
    <w:name w:val="Normal (Web)"/>
    <w:basedOn w:val="a"/>
    <w:uiPriority w:val="99"/>
    <w:semiHidden/>
    <w:unhideWhenUsed/>
    <w:rsid w:val="00FB3C2F"/>
    <w:pPr>
      <w:widowControl/>
      <w:spacing w:before="100" w:beforeAutospacing="1" w:after="100" w:afterAutospacing="1"/>
      <w:jc w:val="left"/>
    </w:pPr>
    <w:rPr>
      <w:rFonts w:ascii="宋体" w:eastAsia="宋体" w:hAnsi="宋体" w:cs="宋体"/>
      <w:kern w:val="0"/>
      <w:sz w:val="24"/>
      <w:szCs w:val="24"/>
    </w:rPr>
  </w:style>
  <w:style w:type="paragraph" w:styleId="a5">
    <w:name w:val="Balloon Text"/>
    <w:basedOn w:val="a"/>
    <w:link w:val="Char"/>
    <w:uiPriority w:val="99"/>
    <w:semiHidden/>
    <w:unhideWhenUsed/>
    <w:rsid w:val="00FB3C2F"/>
    <w:rPr>
      <w:sz w:val="18"/>
      <w:szCs w:val="18"/>
    </w:rPr>
  </w:style>
  <w:style w:type="character" w:customStyle="1" w:styleId="Char">
    <w:name w:val="批注框文本 Char"/>
    <w:basedOn w:val="a0"/>
    <w:link w:val="a5"/>
    <w:uiPriority w:val="99"/>
    <w:semiHidden/>
    <w:rsid w:val="00FB3C2F"/>
    <w:rPr>
      <w:sz w:val="18"/>
      <w:szCs w:val="18"/>
    </w:rPr>
  </w:style>
  <w:style w:type="paragraph" w:styleId="a6">
    <w:name w:val="header"/>
    <w:basedOn w:val="a"/>
    <w:link w:val="Char0"/>
    <w:uiPriority w:val="99"/>
    <w:unhideWhenUsed/>
    <w:rsid w:val="00605B0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605B0F"/>
    <w:rPr>
      <w:sz w:val="18"/>
      <w:szCs w:val="18"/>
    </w:rPr>
  </w:style>
  <w:style w:type="paragraph" w:styleId="a7">
    <w:name w:val="footer"/>
    <w:basedOn w:val="a"/>
    <w:link w:val="Char1"/>
    <w:uiPriority w:val="99"/>
    <w:unhideWhenUsed/>
    <w:rsid w:val="00605B0F"/>
    <w:pPr>
      <w:tabs>
        <w:tab w:val="center" w:pos="4153"/>
        <w:tab w:val="right" w:pos="8306"/>
      </w:tabs>
      <w:snapToGrid w:val="0"/>
      <w:jc w:val="left"/>
    </w:pPr>
    <w:rPr>
      <w:sz w:val="18"/>
      <w:szCs w:val="18"/>
    </w:rPr>
  </w:style>
  <w:style w:type="character" w:customStyle="1" w:styleId="Char1">
    <w:name w:val="页脚 Char"/>
    <w:basedOn w:val="a0"/>
    <w:link w:val="a7"/>
    <w:uiPriority w:val="99"/>
    <w:rsid w:val="00605B0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D5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6D5F"/>
    <w:pPr>
      <w:ind w:firstLineChars="200" w:firstLine="420"/>
    </w:pPr>
  </w:style>
  <w:style w:type="paragraph" w:styleId="a4">
    <w:name w:val="Normal (Web)"/>
    <w:basedOn w:val="a"/>
    <w:uiPriority w:val="99"/>
    <w:semiHidden/>
    <w:unhideWhenUsed/>
    <w:rsid w:val="00FB3C2F"/>
    <w:pPr>
      <w:widowControl/>
      <w:spacing w:before="100" w:beforeAutospacing="1" w:after="100" w:afterAutospacing="1"/>
      <w:jc w:val="left"/>
    </w:pPr>
    <w:rPr>
      <w:rFonts w:ascii="宋体" w:eastAsia="宋体" w:hAnsi="宋体" w:cs="宋体"/>
      <w:kern w:val="0"/>
      <w:sz w:val="24"/>
      <w:szCs w:val="24"/>
    </w:rPr>
  </w:style>
  <w:style w:type="paragraph" w:styleId="a5">
    <w:name w:val="Balloon Text"/>
    <w:basedOn w:val="a"/>
    <w:link w:val="Char"/>
    <w:uiPriority w:val="99"/>
    <w:semiHidden/>
    <w:unhideWhenUsed/>
    <w:rsid w:val="00FB3C2F"/>
    <w:rPr>
      <w:sz w:val="18"/>
      <w:szCs w:val="18"/>
    </w:rPr>
  </w:style>
  <w:style w:type="character" w:customStyle="1" w:styleId="Char">
    <w:name w:val="批注框文本 Char"/>
    <w:basedOn w:val="a0"/>
    <w:link w:val="a5"/>
    <w:uiPriority w:val="99"/>
    <w:semiHidden/>
    <w:rsid w:val="00FB3C2F"/>
    <w:rPr>
      <w:sz w:val="18"/>
      <w:szCs w:val="18"/>
    </w:rPr>
  </w:style>
  <w:style w:type="paragraph" w:styleId="a6">
    <w:name w:val="header"/>
    <w:basedOn w:val="a"/>
    <w:link w:val="Char0"/>
    <w:uiPriority w:val="99"/>
    <w:unhideWhenUsed/>
    <w:rsid w:val="00605B0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605B0F"/>
    <w:rPr>
      <w:sz w:val="18"/>
      <w:szCs w:val="18"/>
    </w:rPr>
  </w:style>
  <w:style w:type="paragraph" w:styleId="a7">
    <w:name w:val="footer"/>
    <w:basedOn w:val="a"/>
    <w:link w:val="Char1"/>
    <w:uiPriority w:val="99"/>
    <w:unhideWhenUsed/>
    <w:rsid w:val="00605B0F"/>
    <w:pPr>
      <w:tabs>
        <w:tab w:val="center" w:pos="4153"/>
        <w:tab w:val="right" w:pos="8306"/>
      </w:tabs>
      <w:snapToGrid w:val="0"/>
      <w:jc w:val="left"/>
    </w:pPr>
    <w:rPr>
      <w:sz w:val="18"/>
      <w:szCs w:val="18"/>
    </w:rPr>
  </w:style>
  <w:style w:type="character" w:customStyle="1" w:styleId="Char1">
    <w:name w:val="页脚 Char"/>
    <w:basedOn w:val="a0"/>
    <w:link w:val="a7"/>
    <w:uiPriority w:val="99"/>
    <w:rsid w:val="00605B0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47913">
      <w:bodyDiv w:val="1"/>
      <w:marLeft w:val="0"/>
      <w:marRight w:val="0"/>
      <w:marTop w:val="0"/>
      <w:marBottom w:val="0"/>
      <w:divBdr>
        <w:top w:val="none" w:sz="0" w:space="0" w:color="auto"/>
        <w:left w:val="none" w:sz="0" w:space="0" w:color="auto"/>
        <w:bottom w:val="none" w:sz="0" w:space="0" w:color="auto"/>
        <w:right w:val="none" w:sz="0" w:space="0" w:color="auto"/>
      </w:divBdr>
      <w:divsChild>
        <w:div w:id="887110510">
          <w:marLeft w:val="446"/>
          <w:marRight w:val="0"/>
          <w:marTop w:val="0"/>
          <w:marBottom w:val="0"/>
          <w:divBdr>
            <w:top w:val="none" w:sz="0" w:space="0" w:color="auto"/>
            <w:left w:val="none" w:sz="0" w:space="0" w:color="auto"/>
            <w:bottom w:val="none" w:sz="0" w:space="0" w:color="auto"/>
            <w:right w:val="none" w:sz="0" w:space="0" w:color="auto"/>
          </w:divBdr>
        </w:div>
      </w:divsChild>
    </w:div>
    <w:div w:id="100146888">
      <w:bodyDiv w:val="1"/>
      <w:marLeft w:val="0"/>
      <w:marRight w:val="0"/>
      <w:marTop w:val="0"/>
      <w:marBottom w:val="0"/>
      <w:divBdr>
        <w:top w:val="none" w:sz="0" w:space="0" w:color="auto"/>
        <w:left w:val="none" w:sz="0" w:space="0" w:color="auto"/>
        <w:bottom w:val="none" w:sz="0" w:space="0" w:color="auto"/>
        <w:right w:val="none" w:sz="0" w:space="0" w:color="auto"/>
      </w:divBdr>
      <w:divsChild>
        <w:div w:id="70930110">
          <w:marLeft w:val="446"/>
          <w:marRight w:val="0"/>
          <w:marTop w:val="0"/>
          <w:marBottom w:val="0"/>
          <w:divBdr>
            <w:top w:val="none" w:sz="0" w:space="0" w:color="auto"/>
            <w:left w:val="none" w:sz="0" w:space="0" w:color="auto"/>
            <w:bottom w:val="none" w:sz="0" w:space="0" w:color="auto"/>
            <w:right w:val="none" w:sz="0" w:space="0" w:color="auto"/>
          </w:divBdr>
        </w:div>
        <w:div w:id="1099982622">
          <w:marLeft w:val="446"/>
          <w:marRight w:val="0"/>
          <w:marTop w:val="0"/>
          <w:marBottom w:val="0"/>
          <w:divBdr>
            <w:top w:val="none" w:sz="0" w:space="0" w:color="auto"/>
            <w:left w:val="none" w:sz="0" w:space="0" w:color="auto"/>
            <w:bottom w:val="none" w:sz="0" w:space="0" w:color="auto"/>
            <w:right w:val="none" w:sz="0" w:space="0" w:color="auto"/>
          </w:divBdr>
        </w:div>
      </w:divsChild>
    </w:div>
    <w:div w:id="135413286">
      <w:bodyDiv w:val="1"/>
      <w:marLeft w:val="0"/>
      <w:marRight w:val="0"/>
      <w:marTop w:val="0"/>
      <w:marBottom w:val="0"/>
      <w:divBdr>
        <w:top w:val="none" w:sz="0" w:space="0" w:color="auto"/>
        <w:left w:val="none" w:sz="0" w:space="0" w:color="auto"/>
        <w:bottom w:val="none" w:sz="0" w:space="0" w:color="auto"/>
        <w:right w:val="none" w:sz="0" w:space="0" w:color="auto"/>
      </w:divBdr>
      <w:divsChild>
        <w:div w:id="375860812">
          <w:marLeft w:val="446"/>
          <w:marRight w:val="0"/>
          <w:marTop w:val="0"/>
          <w:marBottom w:val="0"/>
          <w:divBdr>
            <w:top w:val="none" w:sz="0" w:space="0" w:color="auto"/>
            <w:left w:val="none" w:sz="0" w:space="0" w:color="auto"/>
            <w:bottom w:val="none" w:sz="0" w:space="0" w:color="auto"/>
            <w:right w:val="none" w:sz="0" w:space="0" w:color="auto"/>
          </w:divBdr>
        </w:div>
        <w:div w:id="2065716601">
          <w:marLeft w:val="446"/>
          <w:marRight w:val="0"/>
          <w:marTop w:val="0"/>
          <w:marBottom w:val="0"/>
          <w:divBdr>
            <w:top w:val="none" w:sz="0" w:space="0" w:color="auto"/>
            <w:left w:val="none" w:sz="0" w:space="0" w:color="auto"/>
            <w:bottom w:val="none" w:sz="0" w:space="0" w:color="auto"/>
            <w:right w:val="none" w:sz="0" w:space="0" w:color="auto"/>
          </w:divBdr>
        </w:div>
        <w:div w:id="1873499451">
          <w:marLeft w:val="446"/>
          <w:marRight w:val="0"/>
          <w:marTop w:val="0"/>
          <w:marBottom w:val="0"/>
          <w:divBdr>
            <w:top w:val="none" w:sz="0" w:space="0" w:color="auto"/>
            <w:left w:val="none" w:sz="0" w:space="0" w:color="auto"/>
            <w:bottom w:val="none" w:sz="0" w:space="0" w:color="auto"/>
            <w:right w:val="none" w:sz="0" w:space="0" w:color="auto"/>
          </w:divBdr>
        </w:div>
        <w:div w:id="1740517559">
          <w:marLeft w:val="446"/>
          <w:marRight w:val="0"/>
          <w:marTop w:val="0"/>
          <w:marBottom w:val="0"/>
          <w:divBdr>
            <w:top w:val="none" w:sz="0" w:space="0" w:color="auto"/>
            <w:left w:val="none" w:sz="0" w:space="0" w:color="auto"/>
            <w:bottom w:val="none" w:sz="0" w:space="0" w:color="auto"/>
            <w:right w:val="none" w:sz="0" w:space="0" w:color="auto"/>
          </w:divBdr>
        </w:div>
        <w:div w:id="696009882">
          <w:marLeft w:val="446"/>
          <w:marRight w:val="0"/>
          <w:marTop w:val="0"/>
          <w:marBottom w:val="0"/>
          <w:divBdr>
            <w:top w:val="none" w:sz="0" w:space="0" w:color="auto"/>
            <w:left w:val="none" w:sz="0" w:space="0" w:color="auto"/>
            <w:bottom w:val="none" w:sz="0" w:space="0" w:color="auto"/>
            <w:right w:val="none" w:sz="0" w:space="0" w:color="auto"/>
          </w:divBdr>
        </w:div>
        <w:div w:id="1180047822">
          <w:marLeft w:val="446"/>
          <w:marRight w:val="0"/>
          <w:marTop w:val="0"/>
          <w:marBottom w:val="0"/>
          <w:divBdr>
            <w:top w:val="none" w:sz="0" w:space="0" w:color="auto"/>
            <w:left w:val="none" w:sz="0" w:space="0" w:color="auto"/>
            <w:bottom w:val="none" w:sz="0" w:space="0" w:color="auto"/>
            <w:right w:val="none" w:sz="0" w:space="0" w:color="auto"/>
          </w:divBdr>
        </w:div>
      </w:divsChild>
    </w:div>
    <w:div w:id="220942272">
      <w:bodyDiv w:val="1"/>
      <w:marLeft w:val="0"/>
      <w:marRight w:val="0"/>
      <w:marTop w:val="0"/>
      <w:marBottom w:val="0"/>
      <w:divBdr>
        <w:top w:val="none" w:sz="0" w:space="0" w:color="auto"/>
        <w:left w:val="none" w:sz="0" w:space="0" w:color="auto"/>
        <w:bottom w:val="none" w:sz="0" w:space="0" w:color="auto"/>
        <w:right w:val="none" w:sz="0" w:space="0" w:color="auto"/>
      </w:divBdr>
      <w:divsChild>
        <w:div w:id="910039139">
          <w:marLeft w:val="446"/>
          <w:marRight w:val="0"/>
          <w:marTop w:val="0"/>
          <w:marBottom w:val="0"/>
          <w:divBdr>
            <w:top w:val="none" w:sz="0" w:space="0" w:color="auto"/>
            <w:left w:val="none" w:sz="0" w:space="0" w:color="auto"/>
            <w:bottom w:val="none" w:sz="0" w:space="0" w:color="auto"/>
            <w:right w:val="none" w:sz="0" w:space="0" w:color="auto"/>
          </w:divBdr>
        </w:div>
      </w:divsChild>
    </w:div>
    <w:div w:id="294143567">
      <w:bodyDiv w:val="1"/>
      <w:marLeft w:val="0"/>
      <w:marRight w:val="0"/>
      <w:marTop w:val="0"/>
      <w:marBottom w:val="0"/>
      <w:divBdr>
        <w:top w:val="none" w:sz="0" w:space="0" w:color="auto"/>
        <w:left w:val="none" w:sz="0" w:space="0" w:color="auto"/>
        <w:bottom w:val="none" w:sz="0" w:space="0" w:color="auto"/>
        <w:right w:val="none" w:sz="0" w:space="0" w:color="auto"/>
      </w:divBdr>
      <w:divsChild>
        <w:div w:id="1141115451">
          <w:marLeft w:val="446"/>
          <w:marRight w:val="0"/>
          <w:marTop w:val="0"/>
          <w:marBottom w:val="0"/>
          <w:divBdr>
            <w:top w:val="none" w:sz="0" w:space="0" w:color="auto"/>
            <w:left w:val="none" w:sz="0" w:space="0" w:color="auto"/>
            <w:bottom w:val="none" w:sz="0" w:space="0" w:color="auto"/>
            <w:right w:val="none" w:sz="0" w:space="0" w:color="auto"/>
          </w:divBdr>
        </w:div>
      </w:divsChild>
    </w:div>
    <w:div w:id="309985845">
      <w:bodyDiv w:val="1"/>
      <w:marLeft w:val="0"/>
      <w:marRight w:val="0"/>
      <w:marTop w:val="0"/>
      <w:marBottom w:val="0"/>
      <w:divBdr>
        <w:top w:val="none" w:sz="0" w:space="0" w:color="auto"/>
        <w:left w:val="none" w:sz="0" w:space="0" w:color="auto"/>
        <w:bottom w:val="none" w:sz="0" w:space="0" w:color="auto"/>
        <w:right w:val="none" w:sz="0" w:space="0" w:color="auto"/>
      </w:divBdr>
    </w:div>
    <w:div w:id="317151816">
      <w:bodyDiv w:val="1"/>
      <w:marLeft w:val="0"/>
      <w:marRight w:val="0"/>
      <w:marTop w:val="0"/>
      <w:marBottom w:val="0"/>
      <w:divBdr>
        <w:top w:val="none" w:sz="0" w:space="0" w:color="auto"/>
        <w:left w:val="none" w:sz="0" w:space="0" w:color="auto"/>
        <w:bottom w:val="none" w:sz="0" w:space="0" w:color="auto"/>
        <w:right w:val="none" w:sz="0" w:space="0" w:color="auto"/>
      </w:divBdr>
      <w:divsChild>
        <w:div w:id="565650386">
          <w:marLeft w:val="446"/>
          <w:marRight w:val="0"/>
          <w:marTop w:val="0"/>
          <w:marBottom w:val="0"/>
          <w:divBdr>
            <w:top w:val="none" w:sz="0" w:space="0" w:color="auto"/>
            <w:left w:val="none" w:sz="0" w:space="0" w:color="auto"/>
            <w:bottom w:val="none" w:sz="0" w:space="0" w:color="auto"/>
            <w:right w:val="none" w:sz="0" w:space="0" w:color="auto"/>
          </w:divBdr>
        </w:div>
        <w:div w:id="1945073953">
          <w:marLeft w:val="446"/>
          <w:marRight w:val="0"/>
          <w:marTop w:val="0"/>
          <w:marBottom w:val="0"/>
          <w:divBdr>
            <w:top w:val="none" w:sz="0" w:space="0" w:color="auto"/>
            <w:left w:val="none" w:sz="0" w:space="0" w:color="auto"/>
            <w:bottom w:val="none" w:sz="0" w:space="0" w:color="auto"/>
            <w:right w:val="none" w:sz="0" w:space="0" w:color="auto"/>
          </w:divBdr>
        </w:div>
        <w:div w:id="1958294005">
          <w:marLeft w:val="446"/>
          <w:marRight w:val="0"/>
          <w:marTop w:val="0"/>
          <w:marBottom w:val="0"/>
          <w:divBdr>
            <w:top w:val="none" w:sz="0" w:space="0" w:color="auto"/>
            <w:left w:val="none" w:sz="0" w:space="0" w:color="auto"/>
            <w:bottom w:val="none" w:sz="0" w:space="0" w:color="auto"/>
            <w:right w:val="none" w:sz="0" w:space="0" w:color="auto"/>
          </w:divBdr>
        </w:div>
      </w:divsChild>
    </w:div>
    <w:div w:id="324164769">
      <w:bodyDiv w:val="1"/>
      <w:marLeft w:val="0"/>
      <w:marRight w:val="0"/>
      <w:marTop w:val="0"/>
      <w:marBottom w:val="0"/>
      <w:divBdr>
        <w:top w:val="none" w:sz="0" w:space="0" w:color="auto"/>
        <w:left w:val="none" w:sz="0" w:space="0" w:color="auto"/>
        <w:bottom w:val="none" w:sz="0" w:space="0" w:color="auto"/>
        <w:right w:val="none" w:sz="0" w:space="0" w:color="auto"/>
      </w:divBdr>
    </w:div>
    <w:div w:id="475343922">
      <w:bodyDiv w:val="1"/>
      <w:marLeft w:val="0"/>
      <w:marRight w:val="0"/>
      <w:marTop w:val="0"/>
      <w:marBottom w:val="0"/>
      <w:divBdr>
        <w:top w:val="none" w:sz="0" w:space="0" w:color="auto"/>
        <w:left w:val="none" w:sz="0" w:space="0" w:color="auto"/>
        <w:bottom w:val="none" w:sz="0" w:space="0" w:color="auto"/>
        <w:right w:val="none" w:sz="0" w:space="0" w:color="auto"/>
      </w:divBdr>
      <w:divsChild>
        <w:div w:id="1510219062">
          <w:marLeft w:val="446"/>
          <w:marRight w:val="0"/>
          <w:marTop w:val="0"/>
          <w:marBottom w:val="0"/>
          <w:divBdr>
            <w:top w:val="none" w:sz="0" w:space="0" w:color="auto"/>
            <w:left w:val="none" w:sz="0" w:space="0" w:color="auto"/>
            <w:bottom w:val="none" w:sz="0" w:space="0" w:color="auto"/>
            <w:right w:val="none" w:sz="0" w:space="0" w:color="auto"/>
          </w:divBdr>
        </w:div>
        <w:div w:id="1294560088">
          <w:marLeft w:val="446"/>
          <w:marRight w:val="0"/>
          <w:marTop w:val="0"/>
          <w:marBottom w:val="0"/>
          <w:divBdr>
            <w:top w:val="none" w:sz="0" w:space="0" w:color="auto"/>
            <w:left w:val="none" w:sz="0" w:space="0" w:color="auto"/>
            <w:bottom w:val="none" w:sz="0" w:space="0" w:color="auto"/>
            <w:right w:val="none" w:sz="0" w:space="0" w:color="auto"/>
          </w:divBdr>
        </w:div>
        <w:div w:id="1573929321">
          <w:marLeft w:val="446"/>
          <w:marRight w:val="0"/>
          <w:marTop w:val="0"/>
          <w:marBottom w:val="0"/>
          <w:divBdr>
            <w:top w:val="none" w:sz="0" w:space="0" w:color="auto"/>
            <w:left w:val="none" w:sz="0" w:space="0" w:color="auto"/>
            <w:bottom w:val="none" w:sz="0" w:space="0" w:color="auto"/>
            <w:right w:val="none" w:sz="0" w:space="0" w:color="auto"/>
          </w:divBdr>
        </w:div>
        <w:div w:id="1102841140">
          <w:marLeft w:val="446"/>
          <w:marRight w:val="0"/>
          <w:marTop w:val="0"/>
          <w:marBottom w:val="0"/>
          <w:divBdr>
            <w:top w:val="none" w:sz="0" w:space="0" w:color="auto"/>
            <w:left w:val="none" w:sz="0" w:space="0" w:color="auto"/>
            <w:bottom w:val="none" w:sz="0" w:space="0" w:color="auto"/>
            <w:right w:val="none" w:sz="0" w:space="0" w:color="auto"/>
          </w:divBdr>
        </w:div>
        <w:div w:id="1578855540">
          <w:marLeft w:val="446"/>
          <w:marRight w:val="0"/>
          <w:marTop w:val="0"/>
          <w:marBottom w:val="0"/>
          <w:divBdr>
            <w:top w:val="none" w:sz="0" w:space="0" w:color="auto"/>
            <w:left w:val="none" w:sz="0" w:space="0" w:color="auto"/>
            <w:bottom w:val="none" w:sz="0" w:space="0" w:color="auto"/>
            <w:right w:val="none" w:sz="0" w:space="0" w:color="auto"/>
          </w:divBdr>
        </w:div>
        <w:div w:id="1853832844">
          <w:marLeft w:val="446"/>
          <w:marRight w:val="0"/>
          <w:marTop w:val="0"/>
          <w:marBottom w:val="0"/>
          <w:divBdr>
            <w:top w:val="none" w:sz="0" w:space="0" w:color="auto"/>
            <w:left w:val="none" w:sz="0" w:space="0" w:color="auto"/>
            <w:bottom w:val="none" w:sz="0" w:space="0" w:color="auto"/>
            <w:right w:val="none" w:sz="0" w:space="0" w:color="auto"/>
          </w:divBdr>
        </w:div>
      </w:divsChild>
    </w:div>
    <w:div w:id="495996544">
      <w:bodyDiv w:val="1"/>
      <w:marLeft w:val="0"/>
      <w:marRight w:val="0"/>
      <w:marTop w:val="0"/>
      <w:marBottom w:val="0"/>
      <w:divBdr>
        <w:top w:val="none" w:sz="0" w:space="0" w:color="auto"/>
        <w:left w:val="none" w:sz="0" w:space="0" w:color="auto"/>
        <w:bottom w:val="none" w:sz="0" w:space="0" w:color="auto"/>
        <w:right w:val="none" w:sz="0" w:space="0" w:color="auto"/>
      </w:divBdr>
    </w:div>
    <w:div w:id="571815883">
      <w:bodyDiv w:val="1"/>
      <w:marLeft w:val="0"/>
      <w:marRight w:val="0"/>
      <w:marTop w:val="0"/>
      <w:marBottom w:val="0"/>
      <w:divBdr>
        <w:top w:val="none" w:sz="0" w:space="0" w:color="auto"/>
        <w:left w:val="none" w:sz="0" w:space="0" w:color="auto"/>
        <w:bottom w:val="none" w:sz="0" w:space="0" w:color="auto"/>
        <w:right w:val="none" w:sz="0" w:space="0" w:color="auto"/>
      </w:divBdr>
      <w:divsChild>
        <w:div w:id="623391112">
          <w:marLeft w:val="446"/>
          <w:marRight w:val="0"/>
          <w:marTop w:val="0"/>
          <w:marBottom w:val="0"/>
          <w:divBdr>
            <w:top w:val="none" w:sz="0" w:space="0" w:color="auto"/>
            <w:left w:val="none" w:sz="0" w:space="0" w:color="auto"/>
            <w:bottom w:val="none" w:sz="0" w:space="0" w:color="auto"/>
            <w:right w:val="none" w:sz="0" w:space="0" w:color="auto"/>
          </w:divBdr>
        </w:div>
        <w:div w:id="1936817415">
          <w:marLeft w:val="446"/>
          <w:marRight w:val="0"/>
          <w:marTop w:val="0"/>
          <w:marBottom w:val="0"/>
          <w:divBdr>
            <w:top w:val="none" w:sz="0" w:space="0" w:color="auto"/>
            <w:left w:val="none" w:sz="0" w:space="0" w:color="auto"/>
            <w:bottom w:val="none" w:sz="0" w:space="0" w:color="auto"/>
            <w:right w:val="none" w:sz="0" w:space="0" w:color="auto"/>
          </w:divBdr>
        </w:div>
      </w:divsChild>
    </w:div>
    <w:div w:id="622538939">
      <w:bodyDiv w:val="1"/>
      <w:marLeft w:val="0"/>
      <w:marRight w:val="0"/>
      <w:marTop w:val="0"/>
      <w:marBottom w:val="0"/>
      <w:divBdr>
        <w:top w:val="none" w:sz="0" w:space="0" w:color="auto"/>
        <w:left w:val="none" w:sz="0" w:space="0" w:color="auto"/>
        <w:bottom w:val="none" w:sz="0" w:space="0" w:color="auto"/>
        <w:right w:val="none" w:sz="0" w:space="0" w:color="auto"/>
      </w:divBdr>
      <w:divsChild>
        <w:div w:id="135293890">
          <w:marLeft w:val="446"/>
          <w:marRight w:val="0"/>
          <w:marTop w:val="0"/>
          <w:marBottom w:val="0"/>
          <w:divBdr>
            <w:top w:val="none" w:sz="0" w:space="0" w:color="auto"/>
            <w:left w:val="none" w:sz="0" w:space="0" w:color="auto"/>
            <w:bottom w:val="none" w:sz="0" w:space="0" w:color="auto"/>
            <w:right w:val="none" w:sz="0" w:space="0" w:color="auto"/>
          </w:divBdr>
        </w:div>
        <w:div w:id="1384020217">
          <w:marLeft w:val="446"/>
          <w:marRight w:val="0"/>
          <w:marTop w:val="0"/>
          <w:marBottom w:val="0"/>
          <w:divBdr>
            <w:top w:val="none" w:sz="0" w:space="0" w:color="auto"/>
            <w:left w:val="none" w:sz="0" w:space="0" w:color="auto"/>
            <w:bottom w:val="none" w:sz="0" w:space="0" w:color="auto"/>
            <w:right w:val="none" w:sz="0" w:space="0" w:color="auto"/>
          </w:divBdr>
        </w:div>
      </w:divsChild>
    </w:div>
    <w:div w:id="628895390">
      <w:bodyDiv w:val="1"/>
      <w:marLeft w:val="0"/>
      <w:marRight w:val="0"/>
      <w:marTop w:val="0"/>
      <w:marBottom w:val="0"/>
      <w:divBdr>
        <w:top w:val="none" w:sz="0" w:space="0" w:color="auto"/>
        <w:left w:val="none" w:sz="0" w:space="0" w:color="auto"/>
        <w:bottom w:val="none" w:sz="0" w:space="0" w:color="auto"/>
        <w:right w:val="none" w:sz="0" w:space="0" w:color="auto"/>
      </w:divBdr>
      <w:divsChild>
        <w:div w:id="946083626">
          <w:marLeft w:val="446"/>
          <w:marRight w:val="0"/>
          <w:marTop w:val="0"/>
          <w:marBottom w:val="0"/>
          <w:divBdr>
            <w:top w:val="none" w:sz="0" w:space="0" w:color="auto"/>
            <w:left w:val="none" w:sz="0" w:space="0" w:color="auto"/>
            <w:bottom w:val="none" w:sz="0" w:space="0" w:color="auto"/>
            <w:right w:val="none" w:sz="0" w:space="0" w:color="auto"/>
          </w:divBdr>
        </w:div>
      </w:divsChild>
    </w:div>
    <w:div w:id="643894376">
      <w:bodyDiv w:val="1"/>
      <w:marLeft w:val="0"/>
      <w:marRight w:val="0"/>
      <w:marTop w:val="0"/>
      <w:marBottom w:val="0"/>
      <w:divBdr>
        <w:top w:val="none" w:sz="0" w:space="0" w:color="auto"/>
        <w:left w:val="none" w:sz="0" w:space="0" w:color="auto"/>
        <w:bottom w:val="none" w:sz="0" w:space="0" w:color="auto"/>
        <w:right w:val="none" w:sz="0" w:space="0" w:color="auto"/>
      </w:divBdr>
      <w:divsChild>
        <w:div w:id="189727985">
          <w:marLeft w:val="446"/>
          <w:marRight w:val="0"/>
          <w:marTop w:val="0"/>
          <w:marBottom w:val="0"/>
          <w:divBdr>
            <w:top w:val="none" w:sz="0" w:space="0" w:color="auto"/>
            <w:left w:val="none" w:sz="0" w:space="0" w:color="auto"/>
            <w:bottom w:val="none" w:sz="0" w:space="0" w:color="auto"/>
            <w:right w:val="none" w:sz="0" w:space="0" w:color="auto"/>
          </w:divBdr>
        </w:div>
        <w:div w:id="1967003240">
          <w:marLeft w:val="446"/>
          <w:marRight w:val="0"/>
          <w:marTop w:val="0"/>
          <w:marBottom w:val="0"/>
          <w:divBdr>
            <w:top w:val="none" w:sz="0" w:space="0" w:color="auto"/>
            <w:left w:val="none" w:sz="0" w:space="0" w:color="auto"/>
            <w:bottom w:val="none" w:sz="0" w:space="0" w:color="auto"/>
            <w:right w:val="none" w:sz="0" w:space="0" w:color="auto"/>
          </w:divBdr>
        </w:div>
      </w:divsChild>
    </w:div>
    <w:div w:id="646472053">
      <w:bodyDiv w:val="1"/>
      <w:marLeft w:val="0"/>
      <w:marRight w:val="0"/>
      <w:marTop w:val="0"/>
      <w:marBottom w:val="0"/>
      <w:divBdr>
        <w:top w:val="none" w:sz="0" w:space="0" w:color="auto"/>
        <w:left w:val="none" w:sz="0" w:space="0" w:color="auto"/>
        <w:bottom w:val="none" w:sz="0" w:space="0" w:color="auto"/>
        <w:right w:val="none" w:sz="0" w:space="0" w:color="auto"/>
      </w:divBdr>
      <w:divsChild>
        <w:div w:id="1235699878">
          <w:marLeft w:val="446"/>
          <w:marRight w:val="0"/>
          <w:marTop w:val="0"/>
          <w:marBottom w:val="0"/>
          <w:divBdr>
            <w:top w:val="none" w:sz="0" w:space="0" w:color="auto"/>
            <w:left w:val="none" w:sz="0" w:space="0" w:color="auto"/>
            <w:bottom w:val="none" w:sz="0" w:space="0" w:color="auto"/>
            <w:right w:val="none" w:sz="0" w:space="0" w:color="auto"/>
          </w:divBdr>
        </w:div>
      </w:divsChild>
    </w:div>
    <w:div w:id="787435397">
      <w:bodyDiv w:val="1"/>
      <w:marLeft w:val="0"/>
      <w:marRight w:val="0"/>
      <w:marTop w:val="0"/>
      <w:marBottom w:val="0"/>
      <w:divBdr>
        <w:top w:val="none" w:sz="0" w:space="0" w:color="auto"/>
        <w:left w:val="none" w:sz="0" w:space="0" w:color="auto"/>
        <w:bottom w:val="none" w:sz="0" w:space="0" w:color="auto"/>
        <w:right w:val="none" w:sz="0" w:space="0" w:color="auto"/>
      </w:divBdr>
      <w:divsChild>
        <w:div w:id="2110537310">
          <w:marLeft w:val="446"/>
          <w:marRight w:val="0"/>
          <w:marTop w:val="0"/>
          <w:marBottom w:val="0"/>
          <w:divBdr>
            <w:top w:val="none" w:sz="0" w:space="0" w:color="auto"/>
            <w:left w:val="none" w:sz="0" w:space="0" w:color="auto"/>
            <w:bottom w:val="none" w:sz="0" w:space="0" w:color="auto"/>
            <w:right w:val="none" w:sz="0" w:space="0" w:color="auto"/>
          </w:divBdr>
        </w:div>
      </w:divsChild>
    </w:div>
    <w:div w:id="809518991">
      <w:bodyDiv w:val="1"/>
      <w:marLeft w:val="0"/>
      <w:marRight w:val="0"/>
      <w:marTop w:val="0"/>
      <w:marBottom w:val="0"/>
      <w:divBdr>
        <w:top w:val="none" w:sz="0" w:space="0" w:color="auto"/>
        <w:left w:val="none" w:sz="0" w:space="0" w:color="auto"/>
        <w:bottom w:val="none" w:sz="0" w:space="0" w:color="auto"/>
        <w:right w:val="none" w:sz="0" w:space="0" w:color="auto"/>
      </w:divBdr>
      <w:divsChild>
        <w:div w:id="559101359">
          <w:marLeft w:val="446"/>
          <w:marRight w:val="0"/>
          <w:marTop w:val="0"/>
          <w:marBottom w:val="0"/>
          <w:divBdr>
            <w:top w:val="none" w:sz="0" w:space="0" w:color="auto"/>
            <w:left w:val="none" w:sz="0" w:space="0" w:color="auto"/>
            <w:bottom w:val="none" w:sz="0" w:space="0" w:color="auto"/>
            <w:right w:val="none" w:sz="0" w:space="0" w:color="auto"/>
          </w:divBdr>
        </w:div>
        <w:div w:id="1117679036">
          <w:marLeft w:val="446"/>
          <w:marRight w:val="0"/>
          <w:marTop w:val="0"/>
          <w:marBottom w:val="0"/>
          <w:divBdr>
            <w:top w:val="none" w:sz="0" w:space="0" w:color="auto"/>
            <w:left w:val="none" w:sz="0" w:space="0" w:color="auto"/>
            <w:bottom w:val="none" w:sz="0" w:space="0" w:color="auto"/>
            <w:right w:val="none" w:sz="0" w:space="0" w:color="auto"/>
          </w:divBdr>
        </w:div>
        <w:div w:id="2023428959">
          <w:marLeft w:val="446"/>
          <w:marRight w:val="0"/>
          <w:marTop w:val="0"/>
          <w:marBottom w:val="0"/>
          <w:divBdr>
            <w:top w:val="none" w:sz="0" w:space="0" w:color="auto"/>
            <w:left w:val="none" w:sz="0" w:space="0" w:color="auto"/>
            <w:bottom w:val="none" w:sz="0" w:space="0" w:color="auto"/>
            <w:right w:val="none" w:sz="0" w:space="0" w:color="auto"/>
          </w:divBdr>
        </w:div>
      </w:divsChild>
    </w:div>
    <w:div w:id="930432786">
      <w:bodyDiv w:val="1"/>
      <w:marLeft w:val="0"/>
      <w:marRight w:val="0"/>
      <w:marTop w:val="0"/>
      <w:marBottom w:val="0"/>
      <w:divBdr>
        <w:top w:val="none" w:sz="0" w:space="0" w:color="auto"/>
        <w:left w:val="none" w:sz="0" w:space="0" w:color="auto"/>
        <w:bottom w:val="none" w:sz="0" w:space="0" w:color="auto"/>
        <w:right w:val="none" w:sz="0" w:space="0" w:color="auto"/>
      </w:divBdr>
    </w:div>
    <w:div w:id="992417048">
      <w:bodyDiv w:val="1"/>
      <w:marLeft w:val="0"/>
      <w:marRight w:val="0"/>
      <w:marTop w:val="0"/>
      <w:marBottom w:val="0"/>
      <w:divBdr>
        <w:top w:val="none" w:sz="0" w:space="0" w:color="auto"/>
        <w:left w:val="none" w:sz="0" w:space="0" w:color="auto"/>
        <w:bottom w:val="none" w:sz="0" w:space="0" w:color="auto"/>
        <w:right w:val="none" w:sz="0" w:space="0" w:color="auto"/>
      </w:divBdr>
      <w:divsChild>
        <w:div w:id="897471633">
          <w:marLeft w:val="446"/>
          <w:marRight w:val="0"/>
          <w:marTop w:val="0"/>
          <w:marBottom w:val="0"/>
          <w:divBdr>
            <w:top w:val="none" w:sz="0" w:space="0" w:color="auto"/>
            <w:left w:val="none" w:sz="0" w:space="0" w:color="auto"/>
            <w:bottom w:val="none" w:sz="0" w:space="0" w:color="auto"/>
            <w:right w:val="none" w:sz="0" w:space="0" w:color="auto"/>
          </w:divBdr>
        </w:div>
        <w:div w:id="386032715">
          <w:marLeft w:val="446"/>
          <w:marRight w:val="0"/>
          <w:marTop w:val="0"/>
          <w:marBottom w:val="0"/>
          <w:divBdr>
            <w:top w:val="none" w:sz="0" w:space="0" w:color="auto"/>
            <w:left w:val="none" w:sz="0" w:space="0" w:color="auto"/>
            <w:bottom w:val="none" w:sz="0" w:space="0" w:color="auto"/>
            <w:right w:val="none" w:sz="0" w:space="0" w:color="auto"/>
          </w:divBdr>
        </w:div>
        <w:div w:id="1647666411">
          <w:marLeft w:val="446"/>
          <w:marRight w:val="0"/>
          <w:marTop w:val="0"/>
          <w:marBottom w:val="0"/>
          <w:divBdr>
            <w:top w:val="none" w:sz="0" w:space="0" w:color="auto"/>
            <w:left w:val="none" w:sz="0" w:space="0" w:color="auto"/>
            <w:bottom w:val="none" w:sz="0" w:space="0" w:color="auto"/>
            <w:right w:val="none" w:sz="0" w:space="0" w:color="auto"/>
          </w:divBdr>
        </w:div>
      </w:divsChild>
    </w:div>
    <w:div w:id="1018043941">
      <w:bodyDiv w:val="1"/>
      <w:marLeft w:val="0"/>
      <w:marRight w:val="0"/>
      <w:marTop w:val="0"/>
      <w:marBottom w:val="0"/>
      <w:divBdr>
        <w:top w:val="none" w:sz="0" w:space="0" w:color="auto"/>
        <w:left w:val="none" w:sz="0" w:space="0" w:color="auto"/>
        <w:bottom w:val="none" w:sz="0" w:space="0" w:color="auto"/>
        <w:right w:val="none" w:sz="0" w:space="0" w:color="auto"/>
      </w:divBdr>
      <w:divsChild>
        <w:div w:id="1390953758">
          <w:marLeft w:val="446"/>
          <w:marRight w:val="0"/>
          <w:marTop w:val="0"/>
          <w:marBottom w:val="0"/>
          <w:divBdr>
            <w:top w:val="none" w:sz="0" w:space="0" w:color="auto"/>
            <w:left w:val="none" w:sz="0" w:space="0" w:color="auto"/>
            <w:bottom w:val="none" w:sz="0" w:space="0" w:color="auto"/>
            <w:right w:val="none" w:sz="0" w:space="0" w:color="auto"/>
          </w:divBdr>
        </w:div>
      </w:divsChild>
    </w:div>
    <w:div w:id="1052192740">
      <w:bodyDiv w:val="1"/>
      <w:marLeft w:val="0"/>
      <w:marRight w:val="0"/>
      <w:marTop w:val="0"/>
      <w:marBottom w:val="0"/>
      <w:divBdr>
        <w:top w:val="none" w:sz="0" w:space="0" w:color="auto"/>
        <w:left w:val="none" w:sz="0" w:space="0" w:color="auto"/>
        <w:bottom w:val="none" w:sz="0" w:space="0" w:color="auto"/>
        <w:right w:val="none" w:sz="0" w:space="0" w:color="auto"/>
      </w:divBdr>
      <w:divsChild>
        <w:div w:id="1271595078">
          <w:marLeft w:val="446"/>
          <w:marRight w:val="0"/>
          <w:marTop w:val="0"/>
          <w:marBottom w:val="0"/>
          <w:divBdr>
            <w:top w:val="none" w:sz="0" w:space="0" w:color="auto"/>
            <w:left w:val="none" w:sz="0" w:space="0" w:color="auto"/>
            <w:bottom w:val="none" w:sz="0" w:space="0" w:color="auto"/>
            <w:right w:val="none" w:sz="0" w:space="0" w:color="auto"/>
          </w:divBdr>
        </w:div>
        <w:div w:id="490219066">
          <w:marLeft w:val="446"/>
          <w:marRight w:val="0"/>
          <w:marTop w:val="0"/>
          <w:marBottom w:val="0"/>
          <w:divBdr>
            <w:top w:val="none" w:sz="0" w:space="0" w:color="auto"/>
            <w:left w:val="none" w:sz="0" w:space="0" w:color="auto"/>
            <w:bottom w:val="none" w:sz="0" w:space="0" w:color="auto"/>
            <w:right w:val="none" w:sz="0" w:space="0" w:color="auto"/>
          </w:divBdr>
        </w:div>
        <w:div w:id="44188288">
          <w:marLeft w:val="446"/>
          <w:marRight w:val="0"/>
          <w:marTop w:val="0"/>
          <w:marBottom w:val="0"/>
          <w:divBdr>
            <w:top w:val="none" w:sz="0" w:space="0" w:color="auto"/>
            <w:left w:val="none" w:sz="0" w:space="0" w:color="auto"/>
            <w:bottom w:val="none" w:sz="0" w:space="0" w:color="auto"/>
            <w:right w:val="none" w:sz="0" w:space="0" w:color="auto"/>
          </w:divBdr>
        </w:div>
      </w:divsChild>
    </w:div>
    <w:div w:id="1069839985">
      <w:bodyDiv w:val="1"/>
      <w:marLeft w:val="0"/>
      <w:marRight w:val="0"/>
      <w:marTop w:val="0"/>
      <w:marBottom w:val="0"/>
      <w:divBdr>
        <w:top w:val="none" w:sz="0" w:space="0" w:color="auto"/>
        <w:left w:val="none" w:sz="0" w:space="0" w:color="auto"/>
        <w:bottom w:val="none" w:sz="0" w:space="0" w:color="auto"/>
        <w:right w:val="none" w:sz="0" w:space="0" w:color="auto"/>
      </w:divBdr>
      <w:divsChild>
        <w:div w:id="1290624345">
          <w:marLeft w:val="446"/>
          <w:marRight w:val="0"/>
          <w:marTop w:val="0"/>
          <w:marBottom w:val="0"/>
          <w:divBdr>
            <w:top w:val="none" w:sz="0" w:space="0" w:color="auto"/>
            <w:left w:val="none" w:sz="0" w:space="0" w:color="auto"/>
            <w:bottom w:val="none" w:sz="0" w:space="0" w:color="auto"/>
            <w:right w:val="none" w:sz="0" w:space="0" w:color="auto"/>
          </w:divBdr>
        </w:div>
      </w:divsChild>
    </w:div>
    <w:div w:id="1072655617">
      <w:bodyDiv w:val="1"/>
      <w:marLeft w:val="0"/>
      <w:marRight w:val="0"/>
      <w:marTop w:val="0"/>
      <w:marBottom w:val="0"/>
      <w:divBdr>
        <w:top w:val="none" w:sz="0" w:space="0" w:color="auto"/>
        <w:left w:val="none" w:sz="0" w:space="0" w:color="auto"/>
        <w:bottom w:val="none" w:sz="0" w:space="0" w:color="auto"/>
        <w:right w:val="none" w:sz="0" w:space="0" w:color="auto"/>
      </w:divBdr>
      <w:divsChild>
        <w:div w:id="453643240">
          <w:marLeft w:val="446"/>
          <w:marRight w:val="0"/>
          <w:marTop w:val="0"/>
          <w:marBottom w:val="0"/>
          <w:divBdr>
            <w:top w:val="none" w:sz="0" w:space="0" w:color="auto"/>
            <w:left w:val="none" w:sz="0" w:space="0" w:color="auto"/>
            <w:bottom w:val="none" w:sz="0" w:space="0" w:color="auto"/>
            <w:right w:val="none" w:sz="0" w:space="0" w:color="auto"/>
          </w:divBdr>
        </w:div>
      </w:divsChild>
    </w:div>
    <w:div w:id="1155759875">
      <w:bodyDiv w:val="1"/>
      <w:marLeft w:val="0"/>
      <w:marRight w:val="0"/>
      <w:marTop w:val="0"/>
      <w:marBottom w:val="0"/>
      <w:divBdr>
        <w:top w:val="none" w:sz="0" w:space="0" w:color="auto"/>
        <w:left w:val="none" w:sz="0" w:space="0" w:color="auto"/>
        <w:bottom w:val="none" w:sz="0" w:space="0" w:color="auto"/>
        <w:right w:val="none" w:sz="0" w:space="0" w:color="auto"/>
      </w:divBdr>
      <w:divsChild>
        <w:div w:id="329404972">
          <w:marLeft w:val="446"/>
          <w:marRight w:val="0"/>
          <w:marTop w:val="0"/>
          <w:marBottom w:val="0"/>
          <w:divBdr>
            <w:top w:val="none" w:sz="0" w:space="0" w:color="auto"/>
            <w:left w:val="none" w:sz="0" w:space="0" w:color="auto"/>
            <w:bottom w:val="none" w:sz="0" w:space="0" w:color="auto"/>
            <w:right w:val="none" w:sz="0" w:space="0" w:color="auto"/>
          </w:divBdr>
        </w:div>
        <w:div w:id="184755355">
          <w:marLeft w:val="446"/>
          <w:marRight w:val="0"/>
          <w:marTop w:val="0"/>
          <w:marBottom w:val="0"/>
          <w:divBdr>
            <w:top w:val="none" w:sz="0" w:space="0" w:color="auto"/>
            <w:left w:val="none" w:sz="0" w:space="0" w:color="auto"/>
            <w:bottom w:val="none" w:sz="0" w:space="0" w:color="auto"/>
            <w:right w:val="none" w:sz="0" w:space="0" w:color="auto"/>
          </w:divBdr>
        </w:div>
        <w:div w:id="1185972060">
          <w:marLeft w:val="446"/>
          <w:marRight w:val="0"/>
          <w:marTop w:val="0"/>
          <w:marBottom w:val="0"/>
          <w:divBdr>
            <w:top w:val="none" w:sz="0" w:space="0" w:color="auto"/>
            <w:left w:val="none" w:sz="0" w:space="0" w:color="auto"/>
            <w:bottom w:val="none" w:sz="0" w:space="0" w:color="auto"/>
            <w:right w:val="none" w:sz="0" w:space="0" w:color="auto"/>
          </w:divBdr>
        </w:div>
        <w:div w:id="11223803">
          <w:marLeft w:val="446"/>
          <w:marRight w:val="0"/>
          <w:marTop w:val="0"/>
          <w:marBottom w:val="0"/>
          <w:divBdr>
            <w:top w:val="none" w:sz="0" w:space="0" w:color="auto"/>
            <w:left w:val="none" w:sz="0" w:space="0" w:color="auto"/>
            <w:bottom w:val="none" w:sz="0" w:space="0" w:color="auto"/>
            <w:right w:val="none" w:sz="0" w:space="0" w:color="auto"/>
          </w:divBdr>
        </w:div>
      </w:divsChild>
    </w:div>
    <w:div w:id="1196313522">
      <w:bodyDiv w:val="1"/>
      <w:marLeft w:val="0"/>
      <w:marRight w:val="0"/>
      <w:marTop w:val="0"/>
      <w:marBottom w:val="0"/>
      <w:divBdr>
        <w:top w:val="none" w:sz="0" w:space="0" w:color="auto"/>
        <w:left w:val="none" w:sz="0" w:space="0" w:color="auto"/>
        <w:bottom w:val="none" w:sz="0" w:space="0" w:color="auto"/>
        <w:right w:val="none" w:sz="0" w:space="0" w:color="auto"/>
      </w:divBdr>
      <w:divsChild>
        <w:div w:id="1286620543">
          <w:marLeft w:val="446"/>
          <w:marRight w:val="0"/>
          <w:marTop w:val="0"/>
          <w:marBottom w:val="0"/>
          <w:divBdr>
            <w:top w:val="none" w:sz="0" w:space="0" w:color="auto"/>
            <w:left w:val="none" w:sz="0" w:space="0" w:color="auto"/>
            <w:bottom w:val="none" w:sz="0" w:space="0" w:color="auto"/>
            <w:right w:val="none" w:sz="0" w:space="0" w:color="auto"/>
          </w:divBdr>
        </w:div>
        <w:div w:id="1295599640">
          <w:marLeft w:val="446"/>
          <w:marRight w:val="0"/>
          <w:marTop w:val="0"/>
          <w:marBottom w:val="0"/>
          <w:divBdr>
            <w:top w:val="none" w:sz="0" w:space="0" w:color="auto"/>
            <w:left w:val="none" w:sz="0" w:space="0" w:color="auto"/>
            <w:bottom w:val="none" w:sz="0" w:space="0" w:color="auto"/>
            <w:right w:val="none" w:sz="0" w:space="0" w:color="auto"/>
          </w:divBdr>
        </w:div>
        <w:div w:id="472337914">
          <w:marLeft w:val="446"/>
          <w:marRight w:val="0"/>
          <w:marTop w:val="0"/>
          <w:marBottom w:val="0"/>
          <w:divBdr>
            <w:top w:val="none" w:sz="0" w:space="0" w:color="auto"/>
            <w:left w:val="none" w:sz="0" w:space="0" w:color="auto"/>
            <w:bottom w:val="none" w:sz="0" w:space="0" w:color="auto"/>
            <w:right w:val="none" w:sz="0" w:space="0" w:color="auto"/>
          </w:divBdr>
        </w:div>
        <w:div w:id="1867408165">
          <w:marLeft w:val="446"/>
          <w:marRight w:val="0"/>
          <w:marTop w:val="0"/>
          <w:marBottom w:val="0"/>
          <w:divBdr>
            <w:top w:val="none" w:sz="0" w:space="0" w:color="auto"/>
            <w:left w:val="none" w:sz="0" w:space="0" w:color="auto"/>
            <w:bottom w:val="none" w:sz="0" w:space="0" w:color="auto"/>
            <w:right w:val="none" w:sz="0" w:space="0" w:color="auto"/>
          </w:divBdr>
        </w:div>
        <w:div w:id="223832793">
          <w:marLeft w:val="446"/>
          <w:marRight w:val="0"/>
          <w:marTop w:val="0"/>
          <w:marBottom w:val="0"/>
          <w:divBdr>
            <w:top w:val="none" w:sz="0" w:space="0" w:color="auto"/>
            <w:left w:val="none" w:sz="0" w:space="0" w:color="auto"/>
            <w:bottom w:val="none" w:sz="0" w:space="0" w:color="auto"/>
            <w:right w:val="none" w:sz="0" w:space="0" w:color="auto"/>
          </w:divBdr>
        </w:div>
        <w:div w:id="1430734738">
          <w:marLeft w:val="446"/>
          <w:marRight w:val="0"/>
          <w:marTop w:val="0"/>
          <w:marBottom w:val="0"/>
          <w:divBdr>
            <w:top w:val="none" w:sz="0" w:space="0" w:color="auto"/>
            <w:left w:val="none" w:sz="0" w:space="0" w:color="auto"/>
            <w:bottom w:val="none" w:sz="0" w:space="0" w:color="auto"/>
            <w:right w:val="none" w:sz="0" w:space="0" w:color="auto"/>
          </w:divBdr>
        </w:div>
        <w:div w:id="1175802220">
          <w:marLeft w:val="446"/>
          <w:marRight w:val="0"/>
          <w:marTop w:val="0"/>
          <w:marBottom w:val="0"/>
          <w:divBdr>
            <w:top w:val="none" w:sz="0" w:space="0" w:color="auto"/>
            <w:left w:val="none" w:sz="0" w:space="0" w:color="auto"/>
            <w:bottom w:val="none" w:sz="0" w:space="0" w:color="auto"/>
            <w:right w:val="none" w:sz="0" w:space="0" w:color="auto"/>
          </w:divBdr>
        </w:div>
      </w:divsChild>
    </w:div>
    <w:div w:id="1235508761">
      <w:bodyDiv w:val="1"/>
      <w:marLeft w:val="0"/>
      <w:marRight w:val="0"/>
      <w:marTop w:val="0"/>
      <w:marBottom w:val="0"/>
      <w:divBdr>
        <w:top w:val="none" w:sz="0" w:space="0" w:color="auto"/>
        <w:left w:val="none" w:sz="0" w:space="0" w:color="auto"/>
        <w:bottom w:val="none" w:sz="0" w:space="0" w:color="auto"/>
        <w:right w:val="none" w:sz="0" w:space="0" w:color="auto"/>
      </w:divBdr>
      <w:divsChild>
        <w:div w:id="245193619">
          <w:marLeft w:val="446"/>
          <w:marRight w:val="0"/>
          <w:marTop w:val="0"/>
          <w:marBottom w:val="0"/>
          <w:divBdr>
            <w:top w:val="none" w:sz="0" w:space="0" w:color="auto"/>
            <w:left w:val="none" w:sz="0" w:space="0" w:color="auto"/>
            <w:bottom w:val="none" w:sz="0" w:space="0" w:color="auto"/>
            <w:right w:val="none" w:sz="0" w:space="0" w:color="auto"/>
          </w:divBdr>
        </w:div>
      </w:divsChild>
    </w:div>
    <w:div w:id="1258712835">
      <w:bodyDiv w:val="1"/>
      <w:marLeft w:val="0"/>
      <w:marRight w:val="0"/>
      <w:marTop w:val="0"/>
      <w:marBottom w:val="0"/>
      <w:divBdr>
        <w:top w:val="none" w:sz="0" w:space="0" w:color="auto"/>
        <w:left w:val="none" w:sz="0" w:space="0" w:color="auto"/>
        <w:bottom w:val="none" w:sz="0" w:space="0" w:color="auto"/>
        <w:right w:val="none" w:sz="0" w:space="0" w:color="auto"/>
      </w:divBdr>
      <w:divsChild>
        <w:div w:id="1780484769">
          <w:marLeft w:val="446"/>
          <w:marRight w:val="0"/>
          <w:marTop w:val="0"/>
          <w:marBottom w:val="0"/>
          <w:divBdr>
            <w:top w:val="none" w:sz="0" w:space="0" w:color="auto"/>
            <w:left w:val="none" w:sz="0" w:space="0" w:color="auto"/>
            <w:bottom w:val="none" w:sz="0" w:space="0" w:color="auto"/>
            <w:right w:val="none" w:sz="0" w:space="0" w:color="auto"/>
          </w:divBdr>
        </w:div>
      </w:divsChild>
    </w:div>
    <w:div w:id="1294405986">
      <w:bodyDiv w:val="1"/>
      <w:marLeft w:val="0"/>
      <w:marRight w:val="0"/>
      <w:marTop w:val="0"/>
      <w:marBottom w:val="0"/>
      <w:divBdr>
        <w:top w:val="none" w:sz="0" w:space="0" w:color="auto"/>
        <w:left w:val="none" w:sz="0" w:space="0" w:color="auto"/>
        <w:bottom w:val="none" w:sz="0" w:space="0" w:color="auto"/>
        <w:right w:val="none" w:sz="0" w:space="0" w:color="auto"/>
      </w:divBdr>
      <w:divsChild>
        <w:div w:id="464857583">
          <w:marLeft w:val="446"/>
          <w:marRight w:val="0"/>
          <w:marTop w:val="0"/>
          <w:marBottom w:val="0"/>
          <w:divBdr>
            <w:top w:val="none" w:sz="0" w:space="0" w:color="auto"/>
            <w:left w:val="none" w:sz="0" w:space="0" w:color="auto"/>
            <w:bottom w:val="none" w:sz="0" w:space="0" w:color="auto"/>
            <w:right w:val="none" w:sz="0" w:space="0" w:color="auto"/>
          </w:divBdr>
        </w:div>
      </w:divsChild>
    </w:div>
    <w:div w:id="1340306637">
      <w:bodyDiv w:val="1"/>
      <w:marLeft w:val="0"/>
      <w:marRight w:val="0"/>
      <w:marTop w:val="0"/>
      <w:marBottom w:val="0"/>
      <w:divBdr>
        <w:top w:val="none" w:sz="0" w:space="0" w:color="auto"/>
        <w:left w:val="none" w:sz="0" w:space="0" w:color="auto"/>
        <w:bottom w:val="none" w:sz="0" w:space="0" w:color="auto"/>
        <w:right w:val="none" w:sz="0" w:space="0" w:color="auto"/>
      </w:divBdr>
      <w:divsChild>
        <w:div w:id="1035547597">
          <w:marLeft w:val="446"/>
          <w:marRight w:val="0"/>
          <w:marTop w:val="0"/>
          <w:marBottom w:val="0"/>
          <w:divBdr>
            <w:top w:val="none" w:sz="0" w:space="0" w:color="auto"/>
            <w:left w:val="none" w:sz="0" w:space="0" w:color="auto"/>
            <w:bottom w:val="none" w:sz="0" w:space="0" w:color="auto"/>
            <w:right w:val="none" w:sz="0" w:space="0" w:color="auto"/>
          </w:divBdr>
        </w:div>
      </w:divsChild>
    </w:div>
    <w:div w:id="1363167629">
      <w:bodyDiv w:val="1"/>
      <w:marLeft w:val="0"/>
      <w:marRight w:val="0"/>
      <w:marTop w:val="0"/>
      <w:marBottom w:val="0"/>
      <w:divBdr>
        <w:top w:val="none" w:sz="0" w:space="0" w:color="auto"/>
        <w:left w:val="none" w:sz="0" w:space="0" w:color="auto"/>
        <w:bottom w:val="none" w:sz="0" w:space="0" w:color="auto"/>
        <w:right w:val="none" w:sz="0" w:space="0" w:color="auto"/>
      </w:divBdr>
      <w:divsChild>
        <w:div w:id="1952004874">
          <w:marLeft w:val="446"/>
          <w:marRight w:val="0"/>
          <w:marTop w:val="0"/>
          <w:marBottom w:val="0"/>
          <w:divBdr>
            <w:top w:val="none" w:sz="0" w:space="0" w:color="auto"/>
            <w:left w:val="none" w:sz="0" w:space="0" w:color="auto"/>
            <w:bottom w:val="none" w:sz="0" w:space="0" w:color="auto"/>
            <w:right w:val="none" w:sz="0" w:space="0" w:color="auto"/>
          </w:divBdr>
        </w:div>
        <w:div w:id="1945259175">
          <w:marLeft w:val="446"/>
          <w:marRight w:val="0"/>
          <w:marTop w:val="0"/>
          <w:marBottom w:val="0"/>
          <w:divBdr>
            <w:top w:val="none" w:sz="0" w:space="0" w:color="auto"/>
            <w:left w:val="none" w:sz="0" w:space="0" w:color="auto"/>
            <w:bottom w:val="none" w:sz="0" w:space="0" w:color="auto"/>
            <w:right w:val="none" w:sz="0" w:space="0" w:color="auto"/>
          </w:divBdr>
        </w:div>
      </w:divsChild>
    </w:div>
    <w:div w:id="1388720868">
      <w:bodyDiv w:val="1"/>
      <w:marLeft w:val="0"/>
      <w:marRight w:val="0"/>
      <w:marTop w:val="0"/>
      <w:marBottom w:val="0"/>
      <w:divBdr>
        <w:top w:val="none" w:sz="0" w:space="0" w:color="auto"/>
        <w:left w:val="none" w:sz="0" w:space="0" w:color="auto"/>
        <w:bottom w:val="none" w:sz="0" w:space="0" w:color="auto"/>
        <w:right w:val="none" w:sz="0" w:space="0" w:color="auto"/>
      </w:divBdr>
      <w:divsChild>
        <w:div w:id="1189373197">
          <w:marLeft w:val="446"/>
          <w:marRight w:val="0"/>
          <w:marTop w:val="0"/>
          <w:marBottom w:val="0"/>
          <w:divBdr>
            <w:top w:val="none" w:sz="0" w:space="0" w:color="auto"/>
            <w:left w:val="none" w:sz="0" w:space="0" w:color="auto"/>
            <w:bottom w:val="none" w:sz="0" w:space="0" w:color="auto"/>
            <w:right w:val="none" w:sz="0" w:space="0" w:color="auto"/>
          </w:divBdr>
        </w:div>
      </w:divsChild>
    </w:div>
    <w:div w:id="1490947606">
      <w:bodyDiv w:val="1"/>
      <w:marLeft w:val="0"/>
      <w:marRight w:val="0"/>
      <w:marTop w:val="0"/>
      <w:marBottom w:val="0"/>
      <w:divBdr>
        <w:top w:val="none" w:sz="0" w:space="0" w:color="auto"/>
        <w:left w:val="none" w:sz="0" w:space="0" w:color="auto"/>
        <w:bottom w:val="none" w:sz="0" w:space="0" w:color="auto"/>
        <w:right w:val="none" w:sz="0" w:space="0" w:color="auto"/>
      </w:divBdr>
      <w:divsChild>
        <w:div w:id="737481858">
          <w:marLeft w:val="446"/>
          <w:marRight w:val="0"/>
          <w:marTop w:val="0"/>
          <w:marBottom w:val="0"/>
          <w:divBdr>
            <w:top w:val="none" w:sz="0" w:space="0" w:color="auto"/>
            <w:left w:val="none" w:sz="0" w:space="0" w:color="auto"/>
            <w:bottom w:val="none" w:sz="0" w:space="0" w:color="auto"/>
            <w:right w:val="none" w:sz="0" w:space="0" w:color="auto"/>
          </w:divBdr>
        </w:div>
      </w:divsChild>
    </w:div>
    <w:div w:id="1593661873">
      <w:bodyDiv w:val="1"/>
      <w:marLeft w:val="0"/>
      <w:marRight w:val="0"/>
      <w:marTop w:val="0"/>
      <w:marBottom w:val="0"/>
      <w:divBdr>
        <w:top w:val="none" w:sz="0" w:space="0" w:color="auto"/>
        <w:left w:val="none" w:sz="0" w:space="0" w:color="auto"/>
        <w:bottom w:val="none" w:sz="0" w:space="0" w:color="auto"/>
        <w:right w:val="none" w:sz="0" w:space="0" w:color="auto"/>
      </w:divBdr>
    </w:div>
    <w:div w:id="1593854557">
      <w:bodyDiv w:val="1"/>
      <w:marLeft w:val="0"/>
      <w:marRight w:val="0"/>
      <w:marTop w:val="0"/>
      <w:marBottom w:val="0"/>
      <w:divBdr>
        <w:top w:val="none" w:sz="0" w:space="0" w:color="auto"/>
        <w:left w:val="none" w:sz="0" w:space="0" w:color="auto"/>
        <w:bottom w:val="none" w:sz="0" w:space="0" w:color="auto"/>
        <w:right w:val="none" w:sz="0" w:space="0" w:color="auto"/>
      </w:divBdr>
      <w:divsChild>
        <w:div w:id="1281718243">
          <w:marLeft w:val="446"/>
          <w:marRight w:val="0"/>
          <w:marTop w:val="0"/>
          <w:marBottom w:val="0"/>
          <w:divBdr>
            <w:top w:val="none" w:sz="0" w:space="0" w:color="auto"/>
            <w:left w:val="none" w:sz="0" w:space="0" w:color="auto"/>
            <w:bottom w:val="none" w:sz="0" w:space="0" w:color="auto"/>
            <w:right w:val="none" w:sz="0" w:space="0" w:color="auto"/>
          </w:divBdr>
        </w:div>
      </w:divsChild>
    </w:div>
    <w:div w:id="1632394162">
      <w:bodyDiv w:val="1"/>
      <w:marLeft w:val="0"/>
      <w:marRight w:val="0"/>
      <w:marTop w:val="0"/>
      <w:marBottom w:val="0"/>
      <w:divBdr>
        <w:top w:val="none" w:sz="0" w:space="0" w:color="auto"/>
        <w:left w:val="none" w:sz="0" w:space="0" w:color="auto"/>
        <w:bottom w:val="none" w:sz="0" w:space="0" w:color="auto"/>
        <w:right w:val="none" w:sz="0" w:space="0" w:color="auto"/>
      </w:divBdr>
    </w:div>
    <w:div w:id="1635863756">
      <w:bodyDiv w:val="1"/>
      <w:marLeft w:val="0"/>
      <w:marRight w:val="0"/>
      <w:marTop w:val="0"/>
      <w:marBottom w:val="0"/>
      <w:divBdr>
        <w:top w:val="none" w:sz="0" w:space="0" w:color="auto"/>
        <w:left w:val="none" w:sz="0" w:space="0" w:color="auto"/>
        <w:bottom w:val="none" w:sz="0" w:space="0" w:color="auto"/>
        <w:right w:val="none" w:sz="0" w:space="0" w:color="auto"/>
      </w:divBdr>
    </w:div>
    <w:div w:id="1660647273">
      <w:bodyDiv w:val="1"/>
      <w:marLeft w:val="0"/>
      <w:marRight w:val="0"/>
      <w:marTop w:val="0"/>
      <w:marBottom w:val="0"/>
      <w:divBdr>
        <w:top w:val="none" w:sz="0" w:space="0" w:color="auto"/>
        <w:left w:val="none" w:sz="0" w:space="0" w:color="auto"/>
        <w:bottom w:val="none" w:sz="0" w:space="0" w:color="auto"/>
        <w:right w:val="none" w:sz="0" w:space="0" w:color="auto"/>
      </w:divBdr>
      <w:divsChild>
        <w:div w:id="562526007">
          <w:marLeft w:val="446"/>
          <w:marRight w:val="0"/>
          <w:marTop w:val="0"/>
          <w:marBottom w:val="0"/>
          <w:divBdr>
            <w:top w:val="none" w:sz="0" w:space="0" w:color="auto"/>
            <w:left w:val="none" w:sz="0" w:space="0" w:color="auto"/>
            <w:bottom w:val="none" w:sz="0" w:space="0" w:color="auto"/>
            <w:right w:val="none" w:sz="0" w:space="0" w:color="auto"/>
          </w:divBdr>
        </w:div>
        <w:div w:id="204299948">
          <w:marLeft w:val="446"/>
          <w:marRight w:val="0"/>
          <w:marTop w:val="0"/>
          <w:marBottom w:val="0"/>
          <w:divBdr>
            <w:top w:val="none" w:sz="0" w:space="0" w:color="auto"/>
            <w:left w:val="none" w:sz="0" w:space="0" w:color="auto"/>
            <w:bottom w:val="none" w:sz="0" w:space="0" w:color="auto"/>
            <w:right w:val="none" w:sz="0" w:space="0" w:color="auto"/>
          </w:divBdr>
        </w:div>
        <w:div w:id="1030573691">
          <w:marLeft w:val="446"/>
          <w:marRight w:val="0"/>
          <w:marTop w:val="0"/>
          <w:marBottom w:val="0"/>
          <w:divBdr>
            <w:top w:val="none" w:sz="0" w:space="0" w:color="auto"/>
            <w:left w:val="none" w:sz="0" w:space="0" w:color="auto"/>
            <w:bottom w:val="none" w:sz="0" w:space="0" w:color="auto"/>
            <w:right w:val="none" w:sz="0" w:space="0" w:color="auto"/>
          </w:divBdr>
        </w:div>
        <w:div w:id="946275806">
          <w:marLeft w:val="446"/>
          <w:marRight w:val="0"/>
          <w:marTop w:val="0"/>
          <w:marBottom w:val="0"/>
          <w:divBdr>
            <w:top w:val="none" w:sz="0" w:space="0" w:color="auto"/>
            <w:left w:val="none" w:sz="0" w:space="0" w:color="auto"/>
            <w:bottom w:val="none" w:sz="0" w:space="0" w:color="auto"/>
            <w:right w:val="none" w:sz="0" w:space="0" w:color="auto"/>
          </w:divBdr>
        </w:div>
        <w:div w:id="1658729254">
          <w:marLeft w:val="446"/>
          <w:marRight w:val="0"/>
          <w:marTop w:val="0"/>
          <w:marBottom w:val="0"/>
          <w:divBdr>
            <w:top w:val="none" w:sz="0" w:space="0" w:color="auto"/>
            <w:left w:val="none" w:sz="0" w:space="0" w:color="auto"/>
            <w:bottom w:val="none" w:sz="0" w:space="0" w:color="auto"/>
            <w:right w:val="none" w:sz="0" w:space="0" w:color="auto"/>
          </w:divBdr>
        </w:div>
      </w:divsChild>
    </w:div>
    <w:div w:id="1718700403">
      <w:bodyDiv w:val="1"/>
      <w:marLeft w:val="0"/>
      <w:marRight w:val="0"/>
      <w:marTop w:val="0"/>
      <w:marBottom w:val="0"/>
      <w:divBdr>
        <w:top w:val="none" w:sz="0" w:space="0" w:color="auto"/>
        <w:left w:val="none" w:sz="0" w:space="0" w:color="auto"/>
        <w:bottom w:val="none" w:sz="0" w:space="0" w:color="auto"/>
        <w:right w:val="none" w:sz="0" w:space="0" w:color="auto"/>
      </w:divBdr>
      <w:divsChild>
        <w:div w:id="1396003051">
          <w:marLeft w:val="446"/>
          <w:marRight w:val="0"/>
          <w:marTop w:val="0"/>
          <w:marBottom w:val="0"/>
          <w:divBdr>
            <w:top w:val="none" w:sz="0" w:space="0" w:color="auto"/>
            <w:left w:val="none" w:sz="0" w:space="0" w:color="auto"/>
            <w:bottom w:val="none" w:sz="0" w:space="0" w:color="auto"/>
            <w:right w:val="none" w:sz="0" w:space="0" w:color="auto"/>
          </w:divBdr>
        </w:div>
      </w:divsChild>
    </w:div>
    <w:div w:id="1757897719">
      <w:bodyDiv w:val="1"/>
      <w:marLeft w:val="0"/>
      <w:marRight w:val="0"/>
      <w:marTop w:val="0"/>
      <w:marBottom w:val="0"/>
      <w:divBdr>
        <w:top w:val="none" w:sz="0" w:space="0" w:color="auto"/>
        <w:left w:val="none" w:sz="0" w:space="0" w:color="auto"/>
        <w:bottom w:val="none" w:sz="0" w:space="0" w:color="auto"/>
        <w:right w:val="none" w:sz="0" w:space="0" w:color="auto"/>
      </w:divBdr>
      <w:divsChild>
        <w:div w:id="1967924865">
          <w:marLeft w:val="446"/>
          <w:marRight w:val="0"/>
          <w:marTop w:val="0"/>
          <w:marBottom w:val="0"/>
          <w:divBdr>
            <w:top w:val="none" w:sz="0" w:space="0" w:color="auto"/>
            <w:left w:val="none" w:sz="0" w:space="0" w:color="auto"/>
            <w:bottom w:val="none" w:sz="0" w:space="0" w:color="auto"/>
            <w:right w:val="none" w:sz="0" w:space="0" w:color="auto"/>
          </w:divBdr>
        </w:div>
        <w:div w:id="452597666">
          <w:marLeft w:val="446"/>
          <w:marRight w:val="0"/>
          <w:marTop w:val="0"/>
          <w:marBottom w:val="0"/>
          <w:divBdr>
            <w:top w:val="none" w:sz="0" w:space="0" w:color="auto"/>
            <w:left w:val="none" w:sz="0" w:space="0" w:color="auto"/>
            <w:bottom w:val="none" w:sz="0" w:space="0" w:color="auto"/>
            <w:right w:val="none" w:sz="0" w:space="0" w:color="auto"/>
          </w:divBdr>
        </w:div>
        <w:div w:id="1946036152">
          <w:marLeft w:val="446"/>
          <w:marRight w:val="0"/>
          <w:marTop w:val="0"/>
          <w:marBottom w:val="0"/>
          <w:divBdr>
            <w:top w:val="none" w:sz="0" w:space="0" w:color="auto"/>
            <w:left w:val="none" w:sz="0" w:space="0" w:color="auto"/>
            <w:bottom w:val="none" w:sz="0" w:space="0" w:color="auto"/>
            <w:right w:val="none" w:sz="0" w:space="0" w:color="auto"/>
          </w:divBdr>
        </w:div>
        <w:div w:id="107891204">
          <w:marLeft w:val="446"/>
          <w:marRight w:val="0"/>
          <w:marTop w:val="0"/>
          <w:marBottom w:val="0"/>
          <w:divBdr>
            <w:top w:val="none" w:sz="0" w:space="0" w:color="auto"/>
            <w:left w:val="none" w:sz="0" w:space="0" w:color="auto"/>
            <w:bottom w:val="none" w:sz="0" w:space="0" w:color="auto"/>
            <w:right w:val="none" w:sz="0" w:space="0" w:color="auto"/>
          </w:divBdr>
        </w:div>
        <w:div w:id="973632206">
          <w:marLeft w:val="446"/>
          <w:marRight w:val="0"/>
          <w:marTop w:val="0"/>
          <w:marBottom w:val="0"/>
          <w:divBdr>
            <w:top w:val="none" w:sz="0" w:space="0" w:color="auto"/>
            <w:left w:val="none" w:sz="0" w:space="0" w:color="auto"/>
            <w:bottom w:val="none" w:sz="0" w:space="0" w:color="auto"/>
            <w:right w:val="none" w:sz="0" w:space="0" w:color="auto"/>
          </w:divBdr>
        </w:div>
      </w:divsChild>
    </w:div>
    <w:div w:id="1764181577">
      <w:bodyDiv w:val="1"/>
      <w:marLeft w:val="0"/>
      <w:marRight w:val="0"/>
      <w:marTop w:val="0"/>
      <w:marBottom w:val="0"/>
      <w:divBdr>
        <w:top w:val="none" w:sz="0" w:space="0" w:color="auto"/>
        <w:left w:val="none" w:sz="0" w:space="0" w:color="auto"/>
        <w:bottom w:val="none" w:sz="0" w:space="0" w:color="auto"/>
        <w:right w:val="none" w:sz="0" w:space="0" w:color="auto"/>
      </w:divBdr>
    </w:div>
    <w:div w:id="1769616746">
      <w:bodyDiv w:val="1"/>
      <w:marLeft w:val="0"/>
      <w:marRight w:val="0"/>
      <w:marTop w:val="0"/>
      <w:marBottom w:val="0"/>
      <w:divBdr>
        <w:top w:val="none" w:sz="0" w:space="0" w:color="auto"/>
        <w:left w:val="none" w:sz="0" w:space="0" w:color="auto"/>
        <w:bottom w:val="none" w:sz="0" w:space="0" w:color="auto"/>
        <w:right w:val="none" w:sz="0" w:space="0" w:color="auto"/>
      </w:divBdr>
      <w:divsChild>
        <w:div w:id="1472673972">
          <w:marLeft w:val="446"/>
          <w:marRight w:val="0"/>
          <w:marTop w:val="0"/>
          <w:marBottom w:val="0"/>
          <w:divBdr>
            <w:top w:val="none" w:sz="0" w:space="0" w:color="auto"/>
            <w:left w:val="none" w:sz="0" w:space="0" w:color="auto"/>
            <w:bottom w:val="none" w:sz="0" w:space="0" w:color="auto"/>
            <w:right w:val="none" w:sz="0" w:space="0" w:color="auto"/>
          </w:divBdr>
        </w:div>
      </w:divsChild>
    </w:div>
    <w:div w:id="1782146175">
      <w:bodyDiv w:val="1"/>
      <w:marLeft w:val="0"/>
      <w:marRight w:val="0"/>
      <w:marTop w:val="0"/>
      <w:marBottom w:val="0"/>
      <w:divBdr>
        <w:top w:val="none" w:sz="0" w:space="0" w:color="auto"/>
        <w:left w:val="none" w:sz="0" w:space="0" w:color="auto"/>
        <w:bottom w:val="none" w:sz="0" w:space="0" w:color="auto"/>
        <w:right w:val="none" w:sz="0" w:space="0" w:color="auto"/>
      </w:divBdr>
      <w:divsChild>
        <w:div w:id="966282862">
          <w:marLeft w:val="446"/>
          <w:marRight w:val="0"/>
          <w:marTop w:val="0"/>
          <w:marBottom w:val="0"/>
          <w:divBdr>
            <w:top w:val="none" w:sz="0" w:space="0" w:color="auto"/>
            <w:left w:val="none" w:sz="0" w:space="0" w:color="auto"/>
            <w:bottom w:val="none" w:sz="0" w:space="0" w:color="auto"/>
            <w:right w:val="none" w:sz="0" w:space="0" w:color="auto"/>
          </w:divBdr>
        </w:div>
      </w:divsChild>
    </w:div>
    <w:div w:id="1792629324">
      <w:bodyDiv w:val="1"/>
      <w:marLeft w:val="0"/>
      <w:marRight w:val="0"/>
      <w:marTop w:val="0"/>
      <w:marBottom w:val="0"/>
      <w:divBdr>
        <w:top w:val="none" w:sz="0" w:space="0" w:color="auto"/>
        <w:left w:val="none" w:sz="0" w:space="0" w:color="auto"/>
        <w:bottom w:val="none" w:sz="0" w:space="0" w:color="auto"/>
        <w:right w:val="none" w:sz="0" w:space="0" w:color="auto"/>
      </w:divBdr>
      <w:divsChild>
        <w:div w:id="38746552">
          <w:marLeft w:val="446"/>
          <w:marRight w:val="0"/>
          <w:marTop w:val="0"/>
          <w:marBottom w:val="0"/>
          <w:divBdr>
            <w:top w:val="none" w:sz="0" w:space="0" w:color="auto"/>
            <w:left w:val="none" w:sz="0" w:space="0" w:color="auto"/>
            <w:bottom w:val="none" w:sz="0" w:space="0" w:color="auto"/>
            <w:right w:val="none" w:sz="0" w:space="0" w:color="auto"/>
          </w:divBdr>
        </w:div>
      </w:divsChild>
    </w:div>
    <w:div w:id="1839346640">
      <w:bodyDiv w:val="1"/>
      <w:marLeft w:val="0"/>
      <w:marRight w:val="0"/>
      <w:marTop w:val="0"/>
      <w:marBottom w:val="0"/>
      <w:divBdr>
        <w:top w:val="none" w:sz="0" w:space="0" w:color="auto"/>
        <w:left w:val="none" w:sz="0" w:space="0" w:color="auto"/>
        <w:bottom w:val="none" w:sz="0" w:space="0" w:color="auto"/>
        <w:right w:val="none" w:sz="0" w:space="0" w:color="auto"/>
      </w:divBdr>
      <w:divsChild>
        <w:div w:id="1504397517">
          <w:marLeft w:val="446"/>
          <w:marRight w:val="0"/>
          <w:marTop w:val="0"/>
          <w:marBottom w:val="0"/>
          <w:divBdr>
            <w:top w:val="none" w:sz="0" w:space="0" w:color="auto"/>
            <w:left w:val="none" w:sz="0" w:space="0" w:color="auto"/>
            <w:bottom w:val="none" w:sz="0" w:space="0" w:color="auto"/>
            <w:right w:val="none" w:sz="0" w:space="0" w:color="auto"/>
          </w:divBdr>
        </w:div>
      </w:divsChild>
    </w:div>
    <w:div w:id="1851677823">
      <w:bodyDiv w:val="1"/>
      <w:marLeft w:val="0"/>
      <w:marRight w:val="0"/>
      <w:marTop w:val="0"/>
      <w:marBottom w:val="0"/>
      <w:divBdr>
        <w:top w:val="none" w:sz="0" w:space="0" w:color="auto"/>
        <w:left w:val="none" w:sz="0" w:space="0" w:color="auto"/>
        <w:bottom w:val="none" w:sz="0" w:space="0" w:color="auto"/>
        <w:right w:val="none" w:sz="0" w:space="0" w:color="auto"/>
      </w:divBdr>
      <w:divsChild>
        <w:div w:id="1167475319">
          <w:marLeft w:val="446"/>
          <w:marRight w:val="0"/>
          <w:marTop w:val="0"/>
          <w:marBottom w:val="0"/>
          <w:divBdr>
            <w:top w:val="none" w:sz="0" w:space="0" w:color="auto"/>
            <w:left w:val="none" w:sz="0" w:space="0" w:color="auto"/>
            <w:bottom w:val="none" w:sz="0" w:space="0" w:color="auto"/>
            <w:right w:val="none" w:sz="0" w:space="0" w:color="auto"/>
          </w:divBdr>
        </w:div>
      </w:divsChild>
    </w:div>
    <w:div w:id="1870142237">
      <w:bodyDiv w:val="1"/>
      <w:marLeft w:val="0"/>
      <w:marRight w:val="0"/>
      <w:marTop w:val="0"/>
      <w:marBottom w:val="0"/>
      <w:divBdr>
        <w:top w:val="none" w:sz="0" w:space="0" w:color="auto"/>
        <w:left w:val="none" w:sz="0" w:space="0" w:color="auto"/>
        <w:bottom w:val="none" w:sz="0" w:space="0" w:color="auto"/>
        <w:right w:val="none" w:sz="0" w:space="0" w:color="auto"/>
      </w:divBdr>
    </w:div>
    <w:div w:id="1881815828">
      <w:bodyDiv w:val="1"/>
      <w:marLeft w:val="0"/>
      <w:marRight w:val="0"/>
      <w:marTop w:val="0"/>
      <w:marBottom w:val="0"/>
      <w:divBdr>
        <w:top w:val="none" w:sz="0" w:space="0" w:color="auto"/>
        <w:left w:val="none" w:sz="0" w:space="0" w:color="auto"/>
        <w:bottom w:val="none" w:sz="0" w:space="0" w:color="auto"/>
        <w:right w:val="none" w:sz="0" w:space="0" w:color="auto"/>
      </w:divBdr>
    </w:div>
    <w:div w:id="1889148888">
      <w:bodyDiv w:val="1"/>
      <w:marLeft w:val="0"/>
      <w:marRight w:val="0"/>
      <w:marTop w:val="0"/>
      <w:marBottom w:val="0"/>
      <w:divBdr>
        <w:top w:val="none" w:sz="0" w:space="0" w:color="auto"/>
        <w:left w:val="none" w:sz="0" w:space="0" w:color="auto"/>
        <w:bottom w:val="none" w:sz="0" w:space="0" w:color="auto"/>
        <w:right w:val="none" w:sz="0" w:space="0" w:color="auto"/>
      </w:divBdr>
      <w:divsChild>
        <w:div w:id="1849632046">
          <w:marLeft w:val="446"/>
          <w:marRight w:val="0"/>
          <w:marTop w:val="0"/>
          <w:marBottom w:val="0"/>
          <w:divBdr>
            <w:top w:val="none" w:sz="0" w:space="0" w:color="auto"/>
            <w:left w:val="none" w:sz="0" w:space="0" w:color="auto"/>
            <w:bottom w:val="none" w:sz="0" w:space="0" w:color="auto"/>
            <w:right w:val="none" w:sz="0" w:space="0" w:color="auto"/>
          </w:divBdr>
        </w:div>
      </w:divsChild>
    </w:div>
    <w:div w:id="1947225981">
      <w:bodyDiv w:val="1"/>
      <w:marLeft w:val="0"/>
      <w:marRight w:val="0"/>
      <w:marTop w:val="0"/>
      <w:marBottom w:val="0"/>
      <w:divBdr>
        <w:top w:val="none" w:sz="0" w:space="0" w:color="auto"/>
        <w:left w:val="none" w:sz="0" w:space="0" w:color="auto"/>
        <w:bottom w:val="none" w:sz="0" w:space="0" w:color="auto"/>
        <w:right w:val="none" w:sz="0" w:space="0" w:color="auto"/>
      </w:divBdr>
      <w:divsChild>
        <w:div w:id="1994411283">
          <w:marLeft w:val="446"/>
          <w:marRight w:val="0"/>
          <w:marTop w:val="0"/>
          <w:marBottom w:val="0"/>
          <w:divBdr>
            <w:top w:val="none" w:sz="0" w:space="0" w:color="auto"/>
            <w:left w:val="none" w:sz="0" w:space="0" w:color="auto"/>
            <w:bottom w:val="none" w:sz="0" w:space="0" w:color="auto"/>
            <w:right w:val="none" w:sz="0" w:space="0" w:color="auto"/>
          </w:divBdr>
        </w:div>
      </w:divsChild>
    </w:div>
    <w:div w:id="1947930116">
      <w:bodyDiv w:val="1"/>
      <w:marLeft w:val="0"/>
      <w:marRight w:val="0"/>
      <w:marTop w:val="0"/>
      <w:marBottom w:val="0"/>
      <w:divBdr>
        <w:top w:val="none" w:sz="0" w:space="0" w:color="auto"/>
        <w:left w:val="none" w:sz="0" w:space="0" w:color="auto"/>
        <w:bottom w:val="none" w:sz="0" w:space="0" w:color="auto"/>
        <w:right w:val="none" w:sz="0" w:space="0" w:color="auto"/>
      </w:divBdr>
      <w:divsChild>
        <w:div w:id="1835022537">
          <w:marLeft w:val="446"/>
          <w:marRight w:val="0"/>
          <w:marTop w:val="0"/>
          <w:marBottom w:val="0"/>
          <w:divBdr>
            <w:top w:val="none" w:sz="0" w:space="0" w:color="auto"/>
            <w:left w:val="none" w:sz="0" w:space="0" w:color="auto"/>
            <w:bottom w:val="none" w:sz="0" w:space="0" w:color="auto"/>
            <w:right w:val="none" w:sz="0" w:space="0" w:color="auto"/>
          </w:divBdr>
        </w:div>
        <w:div w:id="1689528118">
          <w:marLeft w:val="446"/>
          <w:marRight w:val="0"/>
          <w:marTop w:val="0"/>
          <w:marBottom w:val="0"/>
          <w:divBdr>
            <w:top w:val="none" w:sz="0" w:space="0" w:color="auto"/>
            <w:left w:val="none" w:sz="0" w:space="0" w:color="auto"/>
            <w:bottom w:val="none" w:sz="0" w:space="0" w:color="auto"/>
            <w:right w:val="none" w:sz="0" w:space="0" w:color="auto"/>
          </w:divBdr>
        </w:div>
        <w:div w:id="1724675727">
          <w:marLeft w:val="446"/>
          <w:marRight w:val="0"/>
          <w:marTop w:val="0"/>
          <w:marBottom w:val="0"/>
          <w:divBdr>
            <w:top w:val="none" w:sz="0" w:space="0" w:color="auto"/>
            <w:left w:val="none" w:sz="0" w:space="0" w:color="auto"/>
            <w:bottom w:val="none" w:sz="0" w:space="0" w:color="auto"/>
            <w:right w:val="none" w:sz="0" w:space="0" w:color="auto"/>
          </w:divBdr>
        </w:div>
        <w:div w:id="1151023542">
          <w:marLeft w:val="446"/>
          <w:marRight w:val="0"/>
          <w:marTop w:val="0"/>
          <w:marBottom w:val="0"/>
          <w:divBdr>
            <w:top w:val="none" w:sz="0" w:space="0" w:color="auto"/>
            <w:left w:val="none" w:sz="0" w:space="0" w:color="auto"/>
            <w:bottom w:val="none" w:sz="0" w:space="0" w:color="auto"/>
            <w:right w:val="none" w:sz="0" w:space="0" w:color="auto"/>
          </w:divBdr>
        </w:div>
        <w:div w:id="1747070358">
          <w:marLeft w:val="446"/>
          <w:marRight w:val="0"/>
          <w:marTop w:val="0"/>
          <w:marBottom w:val="0"/>
          <w:divBdr>
            <w:top w:val="none" w:sz="0" w:space="0" w:color="auto"/>
            <w:left w:val="none" w:sz="0" w:space="0" w:color="auto"/>
            <w:bottom w:val="none" w:sz="0" w:space="0" w:color="auto"/>
            <w:right w:val="none" w:sz="0" w:space="0" w:color="auto"/>
          </w:divBdr>
        </w:div>
      </w:divsChild>
    </w:div>
    <w:div w:id="1954556422">
      <w:bodyDiv w:val="1"/>
      <w:marLeft w:val="0"/>
      <w:marRight w:val="0"/>
      <w:marTop w:val="0"/>
      <w:marBottom w:val="0"/>
      <w:divBdr>
        <w:top w:val="none" w:sz="0" w:space="0" w:color="auto"/>
        <w:left w:val="none" w:sz="0" w:space="0" w:color="auto"/>
        <w:bottom w:val="none" w:sz="0" w:space="0" w:color="auto"/>
        <w:right w:val="none" w:sz="0" w:space="0" w:color="auto"/>
      </w:divBdr>
      <w:divsChild>
        <w:div w:id="1201668887">
          <w:marLeft w:val="446"/>
          <w:marRight w:val="0"/>
          <w:marTop w:val="0"/>
          <w:marBottom w:val="0"/>
          <w:divBdr>
            <w:top w:val="none" w:sz="0" w:space="0" w:color="auto"/>
            <w:left w:val="none" w:sz="0" w:space="0" w:color="auto"/>
            <w:bottom w:val="none" w:sz="0" w:space="0" w:color="auto"/>
            <w:right w:val="none" w:sz="0" w:space="0" w:color="auto"/>
          </w:divBdr>
        </w:div>
        <w:div w:id="1982615733">
          <w:marLeft w:val="446"/>
          <w:marRight w:val="0"/>
          <w:marTop w:val="0"/>
          <w:marBottom w:val="0"/>
          <w:divBdr>
            <w:top w:val="none" w:sz="0" w:space="0" w:color="auto"/>
            <w:left w:val="none" w:sz="0" w:space="0" w:color="auto"/>
            <w:bottom w:val="none" w:sz="0" w:space="0" w:color="auto"/>
            <w:right w:val="none" w:sz="0" w:space="0" w:color="auto"/>
          </w:divBdr>
        </w:div>
        <w:div w:id="1822651100">
          <w:marLeft w:val="446"/>
          <w:marRight w:val="0"/>
          <w:marTop w:val="0"/>
          <w:marBottom w:val="0"/>
          <w:divBdr>
            <w:top w:val="none" w:sz="0" w:space="0" w:color="auto"/>
            <w:left w:val="none" w:sz="0" w:space="0" w:color="auto"/>
            <w:bottom w:val="none" w:sz="0" w:space="0" w:color="auto"/>
            <w:right w:val="none" w:sz="0" w:space="0" w:color="auto"/>
          </w:divBdr>
        </w:div>
        <w:div w:id="1030110485">
          <w:marLeft w:val="446"/>
          <w:marRight w:val="0"/>
          <w:marTop w:val="0"/>
          <w:marBottom w:val="0"/>
          <w:divBdr>
            <w:top w:val="none" w:sz="0" w:space="0" w:color="auto"/>
            <w:left w:val="none" w:sz="0" w:space="0" w:color="auto"/>
            <w:bottom w:val="none" w:sz="0" w:space="0" w:color="auto"/>
            <w:right w:val="none" w:sz="0" w:space="0" w:color="auto"/>
          </w:divBdr>
        </w:div>
      </w:divsChild>
    </w:div>
    <w:div w:id="1998145193">
      <w:bodyDiv w:val="1"/>
      <w:marLeft w:val="0"/>
      <w:marRight w:val="0"/>
      <w:marTop w:val="0"/>
      <w:marBottom w:val="0"/>
      <w:divBdr>
        <w:top w:val="none" w:sz="0" w:space="0" w:color="auto"/>
        <w:left w:val="none" w:sz="0" w:space="0" w:color="auto"/>
        <w:bottom w:val="none" w:sz="0" w:space="0" w:color="auto"/>
        <w:right w:val="none" w:sz="0" w:space="0" w:color="auto"/>
      </w:divBdr>
      <w:divsChild>
        <w:div w:id="118960769">
          <w:marLeft w:val="446"/>
          <w:marRight w:val="0"/>
          <w:marTop w:val="0"/>
          <w:marBottom w:val="0"/>
          <w:divBdr>
            <w:top w:val="none" w:sz="0" w:space="0" w:color="auto"/>
            <w:left w:val="none" w:sz="0" w:space="0" w:color="auto"/>
            <w:bottom w:val="none" w:sz="0" w:space="0" w:color="auto"/>
            <w:right w:val="none" w:sz="0" w:space="0" w:color="auto"/>
          </w:divBdr>
        </w:div>
        <w:div w:id="2064519029">
          <w:marLeft w:val="446"/>
          <w:marRight w:val="0"/>
          <w:marTop w:val="0"/>
          <w:marBottom w:val="0"/>
          <w:divBdr>
            <w:top w:val="none" w:sz="0" w:space="0" w:color="auto"/>
            <w:left w:val="none" w:sz="0" w:space="0" w:color="auto"/>
            <w:bottom w:val="none" w:sz="0" w:space="0" w:color="auto"/>
            <w:right w:val="none" w:sz="0" w:space="0" w:color="auto"/>
          </w:divBdr>
        </w:div>
        <w:div w:id="1674644561">
          <w:marLeft w:val="446"/>
          <w:marRight w:val="0"/>
          <w:marTop w:val="0"/>
          <w:marBottom w:val="0"/>
          <w:divBdr>
            <w:top w:val="none" w:sz="0" w:space="0" w:color="auto"/>
            <w:left w:val="none" w:sz="0" w:space="0" w:color="auto"/>
            <w:bottom w:val="none" w:sz="0" w:space="0" w:color="auto"/>
            <w:right w:val="none" w:sz="0" w:space="0" w:color="auto"/>
          </w:divBdr>
        </w:div>
        <w:div w:id="2085909026">
          <w:marLeft w:val="446"/>
          <w:marRight w:val="0"/>
          <w:marTop w:val="0"/>
          <w:marBottom w:val="0"/>
          <w:divBdr>
            <w:top w:val="none" w:sz="0" w:space="0" w:color="auto"/>
            <w:left w:val="none" w:sz="0" w:space="0" w:color="auto"/>
            <w:bottom w:val="none" w:sz="0" w:space="0" w:color="auto"/>
            <w:right w:val="none" w:sz="0" w:space="0" w:color="auto"/>
          </w:divBdr>
        </w:div>
        <w:div w:id="1897885934">
          <w:marLeft w:val="446"/>
          <w:marRight w:val="0"/>
          <w:marTop w:val="0"/>
          <w:marBottom w:val="0"/>
          <w:divBdr>
            <w:top w:val="none" w:sz="0" w:space="0" w:color="auto"/>
            <w:left w:val="none" w:sz="0" w:space="0" w:color="auto"/>
            <w:bottom w:val="none" w:sz="0" w:space="0" w:color="auto"/>
            <w:right w:val="none" w:sz="0" w:space="0" w:color="auto"/>
          </w:divBdr>
        </w:div>
      </w:divsChild>
    </w:div>
    <w:div w:id="2042121809">
      <w:bodyDiv w:val="1"/>
      <w:marLeft w:val="0"/>
      <w:marRight w:val="0"/>
      <w:marTop w:val="0"/>
      <w:marBottom w:val="0"/>
      <w:divBdr>
        <w:top w:val="none" w:sz="0" w:space="0" w:color="auto"/>
        <w:left w:val="none" w:sz="0" w:space="0" w:color="auto"/>
        <w:bottom w:val="none" w:sz="0" w:space="0" w:color="auto"/>
        <w:right w:val="none" w:sz="0" w:space="0" w:color="auto"/>
      </w:divBdr>
      <w:divsChild>
        <w:div w:id="251742679">
          <w:marLeft w:val="446"/>
          <w:marRight w:val="0"/>
          <w:marTop w:val="0"/>
          <w:marBottom w:val="0"/>
          <w:divBdr>
            <w:top w:val="none" w:sz="0" w:space="0" w:color="auto"/>
            <w:left w:val="none" w:sz="0" w:space="0" w:color="auto"/>
            <w:bottom w:val="none" w:sz="0" w:space="0" w:color="auto"/>
            <w:right w:val="none" w:sz="0" w:space="0" w:color="auto"/>
          </w:divBdr>
        </w:div>
        <w:div w:id="375783684">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chart" Target="charts/chart18.xml"/><Relationship Id="rId3" Type="http://schemas.openxmlformats.org/officeDocument/2006/relationships/styles" Target="styles.xml"/><Relationship Id="rId21" Type="http://schemas.openxmlformats.org/officeDocument/2006/relationships/chart" Target="charts/chart13.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7.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chart" Target="charts/chart2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chart" Target="charts/chart16.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chart" Target="charts/chart20.xml"/><Relationship Id="rId10" Type="http://schemas.openxmlformats.org/officeDocument/2006/relationships/chart" Target="charts/chart2.xml"/><Relationship Id="rId19" Type="http://schemas.openxmlformats.org/officeDocument/2006/relationships/chart" Target="charts/chart11.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chart" Target="charts/chart19.xml"/><Relationship Id="rId30" Type="http://schemas.openxmlformats.org/officeDocument/2006/relationships/chart" Target="charts/chart22.xml"/></Relationships>
</file>

<file path=word/charts/_rels/chart1.xml.rels><?xml version="1.0" encoding="UTF-8" standalone="yes"?>
<Relationships xmlns="http://schemas.openxmlformats.org/package/2006/relationships"><Relationship Id="rId1" Type="http://schemas.openxmlformats.org/officeDocument/2006/relationships/oleObject" Target="file:///D:\&#21327;&#20250;---&#24037;&#20316;\2020--&#21327;&#20250;&#24037;&#20316;\2020-&#34892;&#19994;&#25968;&#25454;\202009\2020&#24180;9&#26376;&#20998;&#26512;&#22270;&#34920;.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D:\&#21327;&#20250;---&#24037;&#20316;\2020--&#21327;&#20250;&#24037;&#20316;\2020-&#34892;&#19994;&#25968;&#25454;\202009\2020&#24180;9&#26376;&#20998;&#26512;&#22270;&#34920;.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D:\&#21327;&#20250;---&#24037;&#20316;\2020--&#21327;&#20250;&#24037;&#20316;\2020-&#34892;&#19994;&#25968;&#25454;\202009\2020&#24180;9&#26376;&#20998;&#26512;&#22270;&#34920;.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D:\&#21327;&#20250;---&#24037;&#20316;\2020--&#21327;&#20250;&#24037;&#20316;\2020-&#34892;&#19994;&#25968;&#25454;\202009\2020&#24180;9&#26376;&#20998;&#26512;&#22270;&#34920;.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D:\&#21327;&#20250;---&#24037;&#20316;\2020--&#21327;&#20250;&#24037;&#20316;\2020-&#34892;&#19994;&#25968;&#25454;\202009\2020&#24180;9&#26376;&#20998;&#26512;&#22270;&#34920;.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D:\&#21327;&#20250;---&#24037;&#20316;\2020--&#21327;&#20250;&#24037;&#20316;\2020-&#34892;&#19994;&#25968;&#25454;\202009\2020&#24180;9&#26376;&#20998;&#26512;&#22270;&#34920;.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D:\&#21327;&#20250;---&#24037;&#20316;\2020--&#21327;&#20250;&#24037;&#20316;\2020-&#34892;&#19994;&#25968;&#25454;\202009\2020&#24180;9&#26376;&#20998;&#26512;&#22270;&#34920;.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D:\&#21327;&#20250;---&#24037;&#20316;\2020--&#21327;&#20250;&#24037;&#20316;\2020-&#34892;&#19994;&#25968;&#25454;\202009\2020&#24180;9&#26376;&#20998;&#26512;&#22270;&#34920;.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D:\&#21327;&#20250;---&#24037;&#20316;\2020--&#21327;&#20250;&#24037;&#20316;\2020-&#34892;&#19994;&#25968;&#25454;\202009\2020&#24180;9&#26376;&#20998;&#26512;&#22270;&#34920;.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D:\&#21327;&#20250;---&#24037;&#20316;\2020--&#21327;&#20250;&#24037;&#20316;\2020-&#34892;&#19994;&#25968;&#25454;\202009\2020&#24180;9&#26376;&#20998;&#26512;&#22270;&#34920;.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D:\&#21327;&#20250;---&#24037;&#20316;\2020--&#21327;&#20250;&#24037;&#20316;\2020-&#34892;&#19994;&#25968;&#25454;\202009\&#20892;&#38505;&#21830;&#38750;&#32508;&#21512;&#25104;&#26412;&#29575;09.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21327;&#20250;---&#24037;&#20316;\2020--&#21327;&#20250;&#24037;&#20316;\2020-&#34892;&#19994;&#25968;&#25454;\202009\2020&#24180;9&#26376;&#20998;&#26512;&#22270;&#34920;.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D:\&#21327;&#20250;---&#24037;&#20316;\2020--&#21327;&#20250;&#24037;&#20316;\2020-&#34892;&#19994;&#25968;&#25454;\202009\&#20892;&#38505;&#21830;&#38750;&#32508;&#21512;&#25104;&#26412;&#29575;09.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D:\&#21327;&#20250;---&#24037;&#20316;\2020--&#21327;&#20250;&#24037;&#20316;\2020-&#34892;&#19994;&#25968;&#25454;\202009\&#20892;&#38505;&#21830;&#38750;&#32508;&#21512;&#25104;&#26412;&#29575;09.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D:\&#21327;&#20250;---&#24037;&#20316;\2020--&#21327;&#20250;&#24037;&#20316;\2020-&#34892;&#19994;&#25968;&#25454;\202009\&#20892;&#38505;&#21830;&#38750;&#32508;&#21512;&#25104;&#26412;&#29575;09.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21327;&#20250;---&#24037;&#20316;\2020--&#21327;&#20250;&#24037;&#20316;\2020-&#34892;&#19994;&#25968;&#25454;\202009\2020&#24180;9&#26376;&#20998;&#26512;&#22270;&#34920;.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21327;&#20250;---&#24037;&#20316;\2020--&#21327;&#20250;&#24037;&#20316;\2020-&#34892;&#19994;&#25968;&#25454;\202009\2020&#24180;9&#26376;&#20998;&#26512;&#22270;&#34920;.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21327;&#20250;---&#24037;&#20316;\2020--&#21327;&#20250;&#24037;&#20316;\2020-&#34892;&#19994;&#25968;&#25454;\202009\&#20892;&#38505;&#12289;&#20351;&#29992;&#24615;&#36136;&#20445;&#36153;09.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21327;&#20250;---&#24037;&#20316;\2020--&#21327;&#20250;&#24037;&#20316;\2020-&#34892;&#19994;&#25968;&#25454;\202009\&#20892;&#38505;&#12289;&#20351;&#29992;&#24615;&#36136;&#20445;&#36153;09.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21327;&#20250;---&#24037;&#20316;\2020--&#21327;&#20250;&#24037;&#20316;\2020-&#34892;&#19994;&#25968;&#25454;\202009\&#20892;&#38505;&#12289;&#20351;&#29992;&#24615;&#36136;&#20445;&#36153;09.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21327;&#20250;---&#24037;&#20316;\2020--&#21327;&#20250;&#24037;&#20316;\2020-&#34892;&#19994;&#25968;&#25454;\202009\&#20892;&#38505;&#12289;&#20351;&#29992;&#24615;&#36136;&#20445;&#36153;09.xls"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21327;&#20250;---&#24037;&#20316;\2020--&#21327;&#20250;&#24037;&#20316;\2020-&#34892;&#19994;&#25968;&#25454;\202009\2020&#24180;9&#26376;&#20998;&#26512;&#22270;&#349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800" b="0" i="0" u="none" strike="noStrike" baseline="0">
                <a:solidFill>
                  <a:srgbClr val="000000"/>
                </a:solidFill>
                <a:latin typeface="+mn-ea"/>
                <a:ea typeface="+mn-ea"/>
                <a:cs typeface="宋体"/>
              </a:defRPr>
            </a:pPr>
            <a:r>
              <a:rPr lang="en-US" altLang="zh-CN" sz="1800" b="1" i="0" u="none" strike="noStrike" baseline="0">
                <a:solidFill>
                  <a:srgbClr val="000000"/>
                </a:solidFill>
                <a:latin typeface="+mn-ea"/>
                <a:ea typeface="+mn-ea"/>
              </a:rPr>
              <a:t>2020</a:t>
            </a:r>
            <a:r>
              <a:rPr lang="zh-CN" altLang="en-US" sz="1800" b="1" i="0" u="none" strike="noStrike" baseline="0">
                <a:solidFill>
                  <a:srgbClr val="000000"/>
                </a:solidFill>
                <a:latin typeface="+mn-ea"/>
                <a:ea typeface="+mn-ea"/>
              </a:rPr>
              <a:t>年</a:t>
            </a:r>
            <a:r>
              <a:rPr lang="en-US" altLang="zh-CN" sz="1800" b="1" i="0" u="none" strike="noStrike" baseline="0">
                <a:solidFill>
                  <a:srgbClr val="000000"/>
                </a:solidFill>
                <a:latin typeface="+mn-ea"/>
                <a:ea typeface="+mn-ea"/>
              </a:rPr>
              <a:t>9</a:t>
            </a:r>
            <a:r>
              <a:rPr lang="zh-CN" altLang="en-US" sz="1800" b="1" i="0" u="none" strike="noStrike" baseline="0">
                <a:solidFill>
                  <a:srgbClr val="000000"/>
                </a:solidFill>
                <a:latin typeface="+mn-ea"/>
                <a:ea typeface="+mn-ea"/>
              </a:rPr>
              <a:t>月末各财险公司市场份额</a:t>
            </a:r>
            <a:r>
              <a:rPr lang="en-US" altLang="zh-CN" sz="1800" b="1" i="0" u="none" strike="noStrike" baseline="0">
                <a:solidFill>
                  <a:srgbClr val="000000"/>
                </a:solidFill>
                <a:latin typeface="+mn-ea"/>
                <a:ea typeface="+mn-ea"/>
              </a:rPr>
              <a:t>%</a:t>
            </a:r>
            <a:endParaRPr lang="zh-CN" altLang="en-US" sz="1800" b="1" i="0" u="none" strike="noStrike" baseline="0">
              <a:solidFill>
                <a:srgbClr val="000000"/>
              </a:solidFill>
              <a:latin typeface="+mn-ea"/>
              <a:ea typeface="+mn-ea"/>
            </a:endParaRPr>
          </a:p>
        </c:rich>
      </c:tx>
      <c:layout>
        <c:manualLayout>
          <c:xMode val="edge"/>
          <c:yMode val="edge"/>
          <c:x val="0.17224617250946342"/>
          <c:y val="8.7722693881141945E-3"/>
        </c:manualLayout>
      </c:layout>
      <c:overlay val="0"/>
      <c:spPr>
        <a:noFill/>
        <a:ln w="25400">
          <a:noFill/>
        </a:ln>
      </c:spPr>
    </c:title>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9.1314320374717789E-2"/>
          <c:y val="0.22906611533893459"/>
          <c:w val="0.91178901024468717"/>
          <c:h val="0.55571155878242495"/>
        </c:manualLayout>
      </c:layout>
      <c:bar3DChart>
        <c:barDir val="col"/>
        <c:grouping val="clustered"/>
        <c:varyColors val="0"/>
        <c:ser>
          <c:idx val="0"/>
          <c:order val="0"/>
          <c:tx>
            <c:strRef>
              <c:f>Sheet1!$B$142</c:f>
              <c:strCache>
                <c:ptCount val="1"/>
                <c:pt idx="0">
                  <c:v>201909</c:v>
                </c:pt>
              </c:strCache>
            </c:strRef>
          </c:tx>
          <c:invertIfNegative val="0"/>
          <c:cat>
            <c:strRef>
              <c:f>Sheet1!$A$143:$A$162</c:f>
              <c:strCache>
                <c:ptCount val="20"/>
                <c:pt idx="0">
                  <c:v>人保</c:v>
                </c:pt>
                <c:pt idx="1">
                  <c:v>太平洋</c:v>
                </c:pt>
                <c:pt idx="2">
                  <c:v>平安</c:v>
                </c:pt>
                <c:pt idx="3">
                  <c:v>中华联合</c:v>
                </c:pt>
                <c:pt idx="4">
                  <c:v>天安</c:v>
                </c:pt>
                <c:pt idx="5">
                  <c:v>大地</c:v>
                </c:pt>
                <c:pt idx="6">
                  <c:v>永安</c:v>
                </c:pt>
                <c:pt idx="7">
                  <c:v>大家</c:v>
                </c:pt>
                <c:pt idx="8">
                  <c:v>太平</c:v>
                </c:pt>
                <c:pt idx="9">
                  <c:v>永诚</c:v>
                </c:pt>
                <c:pt idx="10">
                  <c:v>国寿财</c:v>
                </c:pt>
                <c:pt idx="11">
                  <c:v>华安</c:v>
                </c:pt>
                <c:pt idx="12">
                  <c:v>阳光</c:v>
                </c:pt>
                <c:pt idx="13">
                  <c:v>安华农业</c:v>
                </c:pt>
                <c:pt idx="14">
                  <c:v>中航安盟</c:v>
                </c:pt>
                <c:pt idx="15">
                  <c:v>浙商</c:v>
                </c:pt>
                <c:pt idx="16">
                  <c:v>英大泰和</c:v>
                </c:pt>
                <c:pt idx="17">
                  <c:v>富邦</c:v>
                </c:pt>
                <c:pt idx="18">
                  <c:v>亚太</c:v>
                </c:pt>
                <c:pt idx="19">
                  <c:v>渤海</c:v>
                </c:pt>
              </c:strCache>
            </c:strRef>
          </c:cat>
          <c:val>
            <c:numRef>
              <c:f>Sheet1!$B$143:$B$162</c:f>
              <c:numCache>
                <c:formatCode>0.00%</c:formatCode>
                <c:ptCount val="20"/>
                <c:pt idx="0">
                  <c:v>0.38790983650764788</c:v>
                </c:pt>
                <c:pt idx="1">
                  <c:v>8.5037631406424147E-2</c:v>
                </c:pt>
                <c:pt idx="2">
                  <c:v>0.16828154645911195</c:v>
                </c:pt>
                <c:pt idx="3">
                  <c:v>9.1525133334754705E-2</c:v>
                </c:pt>
                <c:pt idx="4">
                  <c:v>8.3456453428711729E-3</c:v>
                </c:pt>
                <c:pt idx="5">
                  <c:v>2.683088884619313E-2</c:v>
                </c:pt>
                <c:pt idx="6">
                  <c:v>1.4274733914142534E-2</c:v>
                </c:pt>
                <c:pt idx="7">
                  <c:v>5.818842098566342E-4</c:v>
                </c:pt>
                <c:pt idx="8">
                  <c:v>2.2248375189027014E-2</c:v>
                </c:pt>
                <c:pt idx="9">
                  <c:v>3.1659443396436591E-3</c:v>
                </c:pt>
                <c:pt idx="10" formatCode="0.000%">
                  <c:v>4.9606485504013559E-2</c:v>
                </c:pt>
                <c:pt idx="11">
                  <c:v>1.0126573548131471E-2</c:v>
                </c:pt>
                <c:pt idx="12">
                  <c:v>4.2580713680251694E-2</c:v>
                </c:pt>
                <c:pt idx="13">
                  <c:v>1.5682968378118438E-2</c:v>
                </c:pt>
                <c:pt idx="14">
                  <c:v>2.9157488681137628E-2</c:v>
                </c:pt>
                <c:pt idx="15">
                  <c:v>8.2991578646193376E-3</c:v>
                </c:pt>
                <c:pt idx="16">
                  <c:v>1.1088152434918296E-2</c:v>
                </c:pt>
                <c:pt idx="17">
                  <c:v>1.0431370039008757E-2</c:v>
                </c:pt>
                <c:pt idx="18">
                  <c:v>6.8381711754073975E-3</c:v>
                </c:pt>
                <c:pt idx="19">
                  <c:v>7.9872991447206918E-3</c:v>
                </c:pt>
              </c:numCache>
            </c:numRef>
          </c:val>
        </c:ser>
        <c:ser>
          <c:idx val="1"/>
          <c:order val="1"/>
          <c:tx>
            <c:strRef>
              <c:f>Sheet1!$C$142</c:f>
              <c:strCache>
                <c:ptCount val="1"/>
                <c:pt idx="0">
                  <c:v>202009</c:v>
                </c:pt>
              </c:strCache>
            </c:strRef>
          </c:tx>
          <c:invertIfNegative val="0"/>
          <c:cat>
            <c:strRef>
              <c:f>Sheet1!$A$143:$A$162</c:f>
              <c:strCache>
                <c:ptCount val="20"/>
                <c:pt idx="0">
                  <c:v>人保</c:v>
                </c:pt>
                <c:pt idx="1">
                  <c:v>太平洋</c:v>
                </c:pt>
                <c:pt idx="2">
                  <c:v>平安</c:v>
                </c:pt>
                <c:pt idx="3">
                  <c:v>中华联合</c:v>
                </c:pt>
                <c:pt idx="4">
                  <c:v>天安</c:v>
                </c:pt>
                <c:pt idx="5">
                  <c:v>大地</c:v>
                </c:pt>
                <c:pt idx="6">
                  <c:v>永安</c:v>
                </c:pt>
                <c:pt idx="7">
                  <c:v>大家</c:v>
                </c:pt>
                <c:pt idx="8">
                  <c:v>太平</c:v>
                </c:pt>
                <c:pt idx="9">
                  <c:v>永诚</c:v>
                </c:pt>
                <c:pt idx="10">
                  <c:v>国寿财</c:v>
                </c:pt>
                <c:pt idx="11">
                  <c:v>华安</c:v>
                </c:pt>
                <c:pt idx="12">
                  <c:v>阳光</c:v>
                </c:pt>
                <c:pt idx="13">
                  <c:v>安华农业</c:v>
                </c:pt>
                <c:pt idx="14">
                  <c:v>中航安盟</c:v>
                </c:pt>
                <c:pt idx="15">
                  <c:v>浙商</c:v>
                </c:pt>
                <c:pt idx="16">
                  <c:v>英大泰和</c:v>
                </c:pt>
                <c:pt idx="17">
                  <c:v>富邦</c:v>
                </c:pt>
                <c:pt idx="18">
                  <c:v>亚太</c:v>
                </c:pt>
                <c:pt idx="19">
                  <c:v>渤海</c:v>
                </c:pt>
              </c:strCache>
            </c:strRef>
          </c:cat>
          <c:val>
            <c:numRef>
              <c:f>Sheet1!$C$143:$C$162</c:f>
              <c:numCache>
                <c:formatCode>0.00%</c:formatCode>
                <c:ptCount val="20"/>
                <c:pt idx="0">
                  <c:v>0.38167569364438508</c:v>
                </c:pt>
                <c:pt idx="1">
                  <c:v>0.11860258025326907</c:v>
                </c:pt>
                <c:pt idx="2">
                  <c:v>0.1629450482951452</c:v>
                </c:pt>
                <c:pt idx="3">
                  <c:v>9.08986719342076E-2</c:v>
                </c:pt>
                <c:pt idx="4">
                  <c:v>8.553626476882209E-3</c:v>
                </c:pt>
                <c:pt idx="5">
                  <c:v>1.4864560017451886E-2</c:v>
                </c:pt>
                <c:pt idx="6">
                  <c:v>1.0676721996977693E-2</c:v>
                </c:pt>
                <c:pt idx="7">
                  <c:v>2.4685154723558186E-3</c:v>
                </c:pt>
                <c:pt idx="8">
                  <c:v>2.2885953161313241E-2</c:v>
                </c:pt>
                <c:pt idx="9">
                  <c:v>2.3446790505745564E-3</c:v>
                </c:pt>
                <c:pt idx="10" formatCode="0.000%">
                  <c:v>4.9619649330468626E-2</c:v>
                </c:pt>
                <c:pt idx="11">
                  <c:v>1.1436679581789854E-2</c:v>
                </c:pt>
                <c:pt idx="12">
                  <c:v>4.0187364980945925E-2</c:v>
                </c:pt>
                <c:pt idx="13">
                  <c:v>2.0902133919269025E-2</c:v>
                </c:pt>
                <c:pt idx="14">
                  <c:v>2.9443141879114502E-2</c:v>
                </c:pt>
                <c:pt idx="15">
                  <c:v>3.6344734485445162E-3</c:v>
                </c:pt>
                <c:pt idx="16">
                  <c:v>1.2855632604089937E-2</c:v>
                </c:pt>
                <c:pt idx="17">
                  <c:v>6.9557021144231925E-3</c:v>
                </c:pt>
                <c:pt idx="18">
                  <c:v>3.4185330013733338E-3</c:v>
                </c:pt>
                <c:pt idx="19">
                  <c:v>5.6306388374189201E-3</c:v>
                </c:pt>
              </c:numCache>
            </c:numRef>
          </c:val>
        </c:ser>
        <c:dLbls>
          <c:showLegendKey val="0"/>
          <c:showVal val="0"/>
          <c:showCatName val="0"/>
          <c:showSerName val="0"/>
          <c:showPercent val="0"/>
          <c:showBubbleSize val="0"/>
        </c:dLbls>
        <c:gapWidth val="150"/>
        <c:shape val="box"/>
        <c:axId val="348381568"/>
        <c:axId val="348383104"/>
        <c:axId val="0"/>
      </c:bar3DChart>
      <c:catAx>
        <c:axId val="348381568"/>
        <c:scaling>
          <c:orientation val="minMax"/>
        </c:scaling>
        <c:delete val="0"/>
        <c:axPos val="b"/>
        <c:numFmt formatCode="General" sourceLinked="1"/>
        <c:majorTickMark val="none"/>
        <c:minorTickMark val="none"/>
        <c:tickLblPos val="nextTo"/>
        <c:crossAx val="348383104"/>
        <c:crosses val="autoZero"/>
        <c:auto val="1"/>
        <c:lblAlgn val="ctr"/>
        <c:lblOffset val="100"/>
        <c:noMultiLvlLbl val="0"/>
      </c:catAx>
      <c:valAx>
        <c:axId val="348383104"/>
        <c:scaling>
          <c:orientation val="minMax"/>
        </c:scaling>
        <c:delete val="0"/>
        <c:axPos val="l"/>
        <c:majorGridlines/>
        <c:numFmt formatCode="0.00%" sourceLinked="1"/>
        <c:majorTickMark val="none"/>
        <c:minorTickMark val="none"/>
        <c:tickLblPos val="nextTo"/>
        <c:crossAx val="348381568"/>
        <c:crosses val="autoZero"/>
        <c:crossBetween val="between"/>
      </c:valAx>
      <c:dTable>
        <c:showHorzBorder val="1"/>
        <c:showVertBorder val="1"/>
        <c:showOutline val="1"/>
        <c:showKeys val="1"/>
        <c:txPr>
          <a:bodyPr/>
          <a:lstStyle/>
          <a:p>
            <a:pPr rtl="0">
              <a:defRPr sz="800"/>
            </a:pPr>
            <a:endParaRPr lang="zh-CN"/>
          </a:p>
        </c:txPr>
      </c:dTable>
      <c:spPr>
        <a:noFill/>
        <a:ln w="25400">
          <a:noFill/>
        </a:ln>
      </c:spPr>
    </c:plotArea>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00" b="1" i="0" u="none" strike="noStrike" baseline="0">
                <a:solidFill>
                  <a:srgbClr val="000000"/>
                </a:solidFill>
                <a:latin typeface="宋体"/>
                <a:ea typeface="宋体"/>
                <a:cs typeface="宋体"/>
              </a:defRPr>
            </a:pPr>
            <a:r>
              <a:rPr lang="zh-CN" altLang="en-US"/>
              <a:t> </a:t>
            </a:r>
            <a:r>
              <a:rPr lang="en-US" altLang="zh-CN"/>
              <a:t>2020</a:t>
            </a:r>
            <a:r>
              <a:rPr lang="zh-CN" altLang="en-US"/>
              <a:t>年</a:t>
            </a:r>
            <a:r>
              <a:rPr lang="en-US" altLang="zh-CN"/>
              <a:t>1-9</a:t>
            </a:r>
            <a:r>
              <a:rPr lang="zh-CN" altLang="en-US"/>
              <a:t>月商非险种保费对比情况（万元）</a:t>
            </a:r>
          </a:p>
        </c:rich>
      </c:tx>
      <c:layout>
        <c:manualLayout>
          <c:xMode val="edge"/>
          <c:yMode val="edge"/>
          <c:x val="0.1176099239052187"/>
          <c:y val="2.2537971168728608E-2"/>
        </c:manualLayout>
      </c:layout>
      <c:overlay val="0"/>
      <c:spPr>
        <a:noFill/>
        <a:ln w="25400">
          <a:noFill/>
        </a:ln>
      </c:spPr>
    </c:title>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0.16531604538087524"/>
          <c:y val="0.1972789115646259"/>
          <c:w val="0.81037277147487863"/>
          <c:h val="0.5544217687074825"/>
        </c:manualLayout>
      </c:layout>
      <c:bar3DChart>
        <c:barDir val="col"/>
        <c:grouping val="clustered"/>
        <c:varyColors val="0"/>
        <c:ser>
          <c:idx val="0"/>
          <c:order val="0"/>
          <c:tx>
            <c:strRef>
              <c:f>Sheet1!$D$47</c:f>
              <c:strCache>
                <c:ptCount val="1"/>
                <c:pt idx="0">
                  <c:v>2019年9月</c:v>
                </c:pt>
              </c:strCache>
            </c:strRef>
          </c:tx>
          <c:invertIfNegative val="0"/>
          <c:cat>
            <c:strRef>
              <c:f>Sheet1!$C$48:$C$54</c:f>
              <c:strCache>
                <c:ptCount val="7"/>
                <c:pt idx="0">
                  <c:v>企财</c:v>
                </c:pt>
                <c:pt idx="1">
                  <c:v>家财</c:v>
                </c:pt>
                <c:pt idx="2">
                  <c:v>货物</c:v>
                </c:pt>
                <c:pt idx="3">
                  <c:v>责任</c:v>
                </c:pt>
                <c:pt idx="4">
                  <c:v>意健</c:v>
                </c:pt>
                <c:pt idx="5">
                  <c:v>其他</c:v>
                </c:pt>
                <c:pt idx="6">
                  <c:v>合计</c:v>
                </c:pt>
              </c:strCache>
            </c:strRef>
          </c:cat>
          <c:val>
            <c:numRef>
              <c:f>Sheet1!$D$48:$D$54</c:f>
              <c:numCache>
                <c:formatCode>0_ </c:formatCode>
                <c:ptCount val="7"/>
                <c:pt idx="0">
                  <c:v>2062.5770080000002</c:v>
                </c:pt>
                <c:pt idx="1">
                  <c:v>789.74969099999998</c:v>
                </c:pt>
                <c:pt idx="2">
                  <c:v>325.49248959340008</c:v>
                </c:pt>
                <c:pt idx="3">
                  <c:v>4050.3724709999997</c:v>
                </c:pt>
                <c:pt idx="4">
                  <c:v>5871.6762489999983</c:v>
                </c:pt>
                <c:pt idx="5">
                  <c:v>4319.1073900000001</c:v>
                </c:pt>
                <c:pt idx="6">
                  <c:v>17418.975298593399</c:v>
                </c:pt>
              </c:numCache>
            </c:numRef>
          </c:val>
        </c:ser>
        <c:ser>
          <c:idx val="1"/>
          <c:order val="1"/>
          <c:tx>
            <c:strRef>
              <c:f>Sheet1!$E$47</c:f>
              <c:strCache>
                <c:ptCount val="1"/>
                <c:pt idx="0">
                  <c:v>2020年9月</c:v>
                </c:pt>
              </c:strCache>
            </c:strRef>
          </c:tx>
          <c:invertIfNegative val="0"/>
          <c:cat>
            <c:strRef>
              <c:f>Sheet1!$C$48:$C$54</c:f>
              <c:strCache>
                <c:ptCount val="7"/>
                <c:pt idx="0">
                  <c:v>企财</c:v>
                </c:pt>
                <c:pt idx="1">
                  <c:v>家财</c:v>
                </c:pt>
                <c:pt idx="2">
                  <c:v>货物</c:v>
                </c:pt>
                <c:pt idx="3">
                  <c:v>责任</c:v>
                </c:pt>
                <c:pt idx="4">
                  <c:v>意健</c:v>
                </c:pt>
                <c:pt idx="5">
                  <c:v>其他</c:v>
                </c:pt>
                <c:pt idx="6">
                  <c:v>合计</c:v>
                </c:pt>
              </c:strCache>
            </c:strRef>
          </c:cat>
          <c:val>
            <c:numRef>
              <c:f>Sheet1!$E$48:$E$54</c:f>
              <c:numCache>
                <c:formatCode>0_ </c:formatCode>
                <c:ptCount val="7"/>
                <c:pt idx="0">
                  <c:v>2468.560375</c:v>
                </c:pt>
                <c:pt idx="1">
                  <c:v>862.62343099999975</c:v>
                </c:pt>
                <c:pt idx="2">
                  <c:v>211.779606</c:v>
                </c:pt>
                <c:pt idx="3">
                  <c:v>5714.0821510000005</c:v>
                </c:pt>
                <c:pt idx="4">
                  <c:v>13794.844929999997</c:v>
                </c:pt>
                <c:pt idx="5">
                  <c:v>2511.1166420000004</c:v>
                </c:pt>
                <c:pt idx="6">
                  <c:v>25564</c:v>
                </c:pt>
              </c:numCache>
            </c:numRef>
          </c:val>
        </c:ser>
        <c:dLbls>
          <c:showLegendKey val="0"/>
          <c:showVal val="0"/>
          <c:showCatName val="0"/>
          <c:showSerName val="0"/>
          <c:showPercent val="0"/>
          <c:showBubbleSize val="0"/>
        </c:dLbls>
        <c:gapWidth val="150"/>
        <c:shape val="box"/>
        <c:axId val="452162688"/>
        <c:axId val="452164224"/>
        <c:axId val="0"/>
      </c:bar3DChart>
      <c:catAx>
        <c:axId val="452162688"/>
        <c:scaling>
          <c:orientation val="minMax"/>
        </c:scaling>
        <c:delete val="0"/>
        <c:axPos val="b"/>
        <c:numFmt formatCode="General" sourceLinked="1"/>
        <c:majorTickMark val="none"/>
        <c:minorTickMark val="none"/>
        <c:tickLblPos val="nextTo"/>
        <c:crossAx val="452164224"/>
        <c:crosses val="autoZero"/>
        <c:auto val="1"/>
        <c:lblAlgn val="ctr"/>
        <c:lblOffset val="100"/>
        <c:noMultiLvlLbl val="0"/>
      </c:catAx>
      <c:valAx>
        <c:axId val="452164224"/>
        <c:scaling>
          <c:orientation val="minMax"/>
        </c:scaling>
        <c:delete val="0"/>
        <c:axPos val="l"/>
        <c:majorGridlines/>
        <c:numFmt formatCode="0_ " sourceLinked="1"/>
        <c:majorTickMark val="none"/>
        <c:minorTickMark val="none"/>
        <c:tickLblPos val="nextTo"/>
        <c:crossAx val="452162688"/>
        <c:crosses val="autoZero"/>
        <c:crossBetween val="between"/>
      </c:valAx>
      <c:dTable>
        <c:showHorzBorder val="1"/>
        <c:showVertBorder val="1"/>
        <c:showOutline val="1"/>
        <c:showKeys val="1"/>
        <c:txPr>
          <a:bodyPr/>
          <a:lstStyle/>
          <a:p>
            <a:pPr rtl="0">
              <a:defRPr sz="1000" b="1" i="0" u="none" strike="noStrike" baseline="0">
                <a:solidFill>
                  <a:srgbClr val="000000"/>
                </a:solidFill>
                <a:latin typeface="宋体"/>
                <a:ea typeface="宋体"/>
                <a:cs typeface="宋体"/>
              </a:defRPr>
            </a:pPr>
            <a:endParaRPr lang="zh-CN"/>
          </a:p>
        </c:txPr>
      </c:dTable>
      <c:spPr>
        <a:noFill/>
        <a:ln w="25400">
          <a:noFill/>
        </a:ln>
      </c:spPr>
    </c:plotArea>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ltLang="zh-CN"/>
              <a:t>2020</a:t>
            </a:r>
            <a:r>
              <a:rPr lang="zh-CN" altLang="en-US"/>
              <a:t>年</a:t>
            </a:r>
            <a:r>
              <a:rPr lang="en-US" altLang="zh-CN"/>
              <a:t>1-9</a:t>
            </a:r>
            <a:r>
              <a:rPr lang="zh-CN" altLang="en-US"/>
              <a:t>月县域保费收入情况（万元）</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县域保费!$B$16</c:f>
              <c:strCache>
                <c:ptCount val="1"/>
                <c:pt idx="0">
                  <c:v>上半年县域保费收入情况（万元）</c:v>
                </c:pt>
              </c:strCache>
            </c:strRef>
          </c:tx>
          <c:dPt>
            <c:idx val="0"/>
            <c:bubble3D val="0"/>
            <c:explosion val="2"/>
          </c:dPt>
          <c:dLbls>
            <c:dLbl>
              <c:idx val="0"/>
              <c:layout>
                <c:manualLayout>
                  <c:x val="2.7651598120627115E-2"/>
                  <c:y val="-0.30937518226888305"/>
                </c:manualLayout>
              </c:layout>
              <c:tx>
                <c:rich>
                  <a:bodyPr/>
                  <a:lstStyle/>
                  <a:p>
                    <a:r>
                      <a:rPr lang="zh-CN" altLang="en-US" sz="1200" b="1"/>
                      <a:t>东港：保费</a:t>
                    </a:r>
                    <a:r>
                      <a:rPr lang="en-US" altLang="en-US" sz="1200" b="1"/>
                      <a:t>33360</a:t>
                    </a:r>
                    <a:r>
                      <a:rPr lang="zh-CN" altLang="en-US" sz="1200" b="1"/>
                      <a:t>万；份额</a:t>
                    </a:r>
                    <a:r>
                      <a:rPr lang="en-US" altLang="zh-CN" sz="1200" b="1"/>
                      <a:t>54%</a:t>
                    </a:r>
                    <a:endParaRPr lang="en-US" altLang="en-US"/>
                  </a:p>
                </c:rich>
              </c:tx>
              <c:showLegendKey val="0"/>
              <c:showVal val="1"/>
              <c:showCatName val="0"/>
              <c:showSerName val="0"/>
              <c:showPercent val="0"/>
              <c:showBubbleSize val="0"/>
            </c:dLbl>
            <c:dLbl>
              <c:idx val="1"/>
              <c:layout>
                <c:manualLayout>
                  <c:x val="-3.73634497830449E-2"/>
                  <c:y val="9.1736293379994172E-2"/>
                </c:manualLayout>
              </c:layout>
              <c:tx>
                <c:rich>
                  <a:bodyPr/>
                  <a:lstStyle/>
                  <a:p>
                    <a:r>
                      <a:rPr lang="zh-CN" altLang="en-US" sz="1200" b="1"/>
                      <a:t>凤城：保费</a:t>
                    </a:r>
                    <a:r>
                      <a:rPr lang="en-US" altLang="en-US" sz="1200" b="1"/>
                      <a:t>16547</a:t>
                    </a:r>
                    <a:r>
                      <a:rPr lang="zh-CN" altLang="en-US" sz="1200" b="1"/>
                      <a:t>万；份额</a:t>
                    </a:r>
                    <a:r>
                      <a:rPr lang="en-US" altLang="zh-CN" sz="1200" b="1"/>
                      <a:t>26.79%</a:t>
                    </a:r>
                    <a:endParaRPr lang="en-US" altLang="en-US"/>
                  </a:p>
                </c:rich>
              </c:tx>
              <c:showLegendKey val="0"/>
              <c:showVal val="1"/>
              <c:showCatName val="0"/>
              <c:showSerName val="0"/>
              <c:showPercent val="0"/>
              <c:showBubbleSize val="0"/>
            </c:dLbl>
            <c:dLbl>
              <c:idx val="2"/>
              <c:tx>
                <c:rich>
                  <a:bodyPr/>
                  <a:lstStyle/>
                  <a:p>
                    <a:r>
                      <a:rPr lang="zh-CN" altLang="en-US" sz="1200" b="1"/>
                      <a:t>宽甸：保费</a:t>
                    </a:r>
                    <a:r>
                      <a:rPr lang="en-US" altLang="en-US" sz="1200" b="1"/>
                      <a:t>11865</a:t>
                    </a:r>
                    <a:r>
                      <a:rPr lang="zh-CN" altLang="en-US" sz="1200" b="1"/>
                      <a:t>万；份额</a:t>
                    </a:r>
                    <a:r>
                      <a:rPr lang="en-US" altLang="zh-CN" sz="1200" b="1"/>
                      <a:t>19.21%</a:t>
                    </a:r>
                    <a:endParaRPr lang="en-US" altLang="en-US"/>
                  </a:p>
                </c:rich>
              </c:tx>
              <c:showLegendKey val="0"/>
              <c:showVal val="1"/>
              <c:showCatName val="0"/>
              <c:showSerName val="0"/>
              <c:showPercent val="0"/>
              <c:showBubbleSize val="0"/>
            </c:dLbl>
            <c:txPr>
              <a:bodyPr/>
              <a:lstStyle/>
              <a:p>
                <a:pPr>
                  <a:defRPr sz="1200" b="1"/>
                </a:pPr>
                <a:endParaRPr lang="zh-CN"/>
              </a:p>
            </c:txPr>
            <c:showLegendKey val="0"/>
            <c:showVal val="1"/>
            <c:showCatName val="0"/>
            <c:showSerName val="0"/>
            <c:showPercent val="0"/>
            <c:showBubbleSize val="0"/>
            <c:showLeaderLines val="1"/>
          </c:dLbls>
          <c:cat>
            <c:strRef>
              <c:f>县域保费!$A$17:$A$19</c:f>
              <c:strCache>
                <c:ptCount val="3"/>
                <c:pt idx="0">
                  <c:v>东港</c:v>
                </c:pt>
                <c:pt idx="1">
                  <c:v>凤城</c:v>
                </c:pt>
                <c:pt idx="2">
                  <c:v>宽甸</c:v>
                </c:pt>
              </c:strCache>
            </c:strRef>
          </c:cat>
          <c:val>
            <c:numRef>
              <c:f>县域保费!$B$17:$B$19</c:f>
              <c:numCache>
                <c:formatCode>0</c:formatCode>
                <c:ptCount val="3"/>
                <c:pt idx="0">
                  <c:v>33359.876623999997</c:v>
                </c:pt>
                <c:pt idx="1">
                  <c:v>16547.021809999998</c:v>
                </c:pt>
                <c:pt idx="2">
                  <c:v>11864.990705</c:v>
                </c:pt>
              </c:numCache>
            </c:numRef>
          </c:val>
        </c:ser>
        <c:dLbls>
          <c:showLegendKey val="0"/>
          <c:showVal val="0"/>
          <c:showCatName val="0"/>
          <c:showSerName val="0"/>
          <c:showPercent val="0"/>
          <c:showBubbleSize val="0"/>
          <c:showLeaderLines val="1"/>
        </c:dLbls>
      </c:pie3DChart>
    </c:plotArea>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ltLang="zh-CN" sz="1600"/>
              <a:t>2020</a:t>
            </a:r>
            <a:r>
              <a:rPr lang="zh-CN" altLang="en-US" sz="1600"/>
              <a:t>年</a:t>
            </a:r>
            <a:r>
              <a:rPr lang="en-US" altLang="zh-CN" sz="1600"/>
              <a:t>1-9</a:t>
            </a:r>
            <a:r>
              <a:rPr lang="zh-CN" altLang="en-US" sz="1600"/>
              <a:t>月县域各险类保费收入（万元）</a:t>
            </a:r>
          </a:p>
        </c:rich>
      </c:tx>
      <c:layout>
        <c:manualLayout>
          <c:xMode val="edge"/>
          <c:yMode val="edge"/>
          <c:x val="0.13020316917739294"/>
          <c:y val="3.2535368063512184E-2"/>
        </c:manualLayout>
      </c:layout>
      <c:overlay val="0"/>
      <c:spPr>
        <a:noFill/>
        <a:ln w="25400">
          <a:noFill/>
        </a:ln>
      </c:spPr>
    </c:title>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0.15934757474559988"/>
          <c:y val="0.22534049287878116"/>
          <c:w val="0.84032318919441595"/>
          <c:h val="0.32632229020907988"/>
        </c:manualLayout>
      </c:layout>
      <c:bar3DChart>
        <c:barDir val="col"/>
        <c:grouping val="stacked"/>
        <c:varyColors val="0"/>
        <c:ser>
          <c:idx val="0"/>
          <c:order val="0"/>
          <c:tx>
            <c:strRef>
              <c:f>Sheet1!$D$40</c:f>
              <c:strCache>
                <c:ptCount val="1"/>
                <c:pt idx="0">
                  <c:v>东港</c:v>
                </c:pt>
              </c:strCache>
            </c:strRef>
          </c:tx>
          <c:invertIfNegative val="0"/>
          <c:cat>
            <c:strRef>
              <c:f>Sheet1!$C$41:$C$44</c:f>
              <c:strCache>
                <c:ptCount val="4"/>
                <c:pt idx="0">
                  <c:v>车险</c:v>
                </c:pt>
                <c:pt idx="1">
                  <c:v>商非</c:v>
                </c:pt>
                <c:pt idx="2">
                  <c:v>农险</c:v>
                </c:pt>
                <c:pt idx="3">
                  <c:v>保费</c:v>
                </c:pt>
              </c:strCache>
            </c:strRef>
          </c:cat>
          <c:val>
            <c:numRef>
              <c:f>Sheet1!$D$41:$D$44</c:f>
              <c:numCache>
                <c:formatCode>0_ </c:formatCode>
                <c:ptCount val="4"/>
                <c:pt idx="0">
                  <c:v>19746.336067999993</c:v>
                </c:pt>
                <c:pt idx="1">
                  <c:v>5664.8605560000033</c:v>
                </c:pt>
                <c:pt idx="2">
                  <c:v>7948.68</c:v>
                </c:pt>
                <c:pt idx="3">
                  <c:v>33359.876623999997</c:v>
                </c:pt>
              </c:numCache>
            </c:numRef>
          </c:val>
        </c:ser>
        <c:ser>
          <c:idx val="1"/>
          <c:order val="1"/>
          <c:tx>
            <c:strRef>
              <c:f>Sheet1!$E$40</c:f>
              <c:strCache>
                <c:ptCount val="1"/>
                <c:pt idx="0">
                  <c:v>凤城 </c:v>
                </c:pt>
              </c:strCache>
            </c:strRef>
          </c:tx>
          <c:invertIfNegative val="0"/>
          <c:cat>
            <c:strRef>
              <c:f>Sheet1!$C$41:$C$44</c:f>
              <c:strCache>
                <c:ptCount val="4"/>
                <c:pt idx="0">
                  <c:v>车险</c:v>
                </c:pt>
                <c:pt idx="1">
                  <c:v>商非</c:v>
                </c:pt>
                <c:pt idx="2">
                  <c:v>农险</c:v>
                </c:pt>
                <c:pt idx="3">
                  <c:v>保费</c:v>
                </c:pt>
              </c:strCache>
            </c:strRef>
          </c:cat>
          <c:val>
            <c:numRef>
              <c:f>Sheet1!$E$41:$E$44</c:f>
              <c:numCache>
                <c:formatCode>0_ </c:formatCode>
                <c:ptCount val="4"/>
                <c:pt idx="0">
                  <c:v>9627.4121619999987</c:v>
                </c:pt>
                <c:pt idx="1">
                  <c:v>2215.0286479999995</c:v>
                </c:pt>
                <c:pt idx="2">
                  <c:v>4704.5810000000001</c:v>
                </c:pt>
                <c:pt idx="3">
                  <c:v>16547.021809999998</c:v>
                </c:pt>
              </c:numCache>
            </c:numRef>
          </c:val>
        </c:ser>
        <c:ser>
          <c:idx val="2"/>
          <c:order val="2"/>
          <c:tx>
            <c:strRef>
              <c:f>Sheet1!$F$40</c:f>
              <c:strCache>
                <c:ptCount val="1"/>
                <c:pt idx="0">
                  <c:v>宽甸</c:v>
                </c:pt>
              </c:strCache>
            </c:strRef>
          </c:tx>
          <c:invertIfNegative val="0"/>
          <c:cat>
            <c:strRef>
              <c:f>Sheet1!$C$41:$C$44</c:f>
              <c:strCache>
                <c:ptCount val="4"/>
                <c:pt idx="0">
                  <c:v>车险</c:v>
                </c:pt>
                <c:pt idx="1">
                  <c:v>商非</c:v>
                </c:pt>
                <c:pt idx="2">
                  <c:v>农险</c:v>
                </c:pt>
                <c:pt idx="3">
                  <c:v>保费</c:v>
                </c:pt>
              </c:strCache>
            </c:strRef>
          </c:cat>
          <c:val>
            <c:numRef>
              <c:f>Sheet1!$F$41:$F$44</c:f>
              <c:numCache>
                <c:formatCode>0_ </c:formatCode>
                <c:ptCount val="4"/>
                <c:pt idx="0">
                  <c:v>6909.1762310000004</c:v>
                </c:pt>
                <c:pt idx="1">
                  <c:v>1621.1933739999995</c:v>
                </c:pt>
                <c:pt idx="2">
                  <c:v>3334.6211000000003</c:v>
                </c:pt>
                <c:pt idx="3">
                  <c:v>11864.990705</c:v>
                </c:pt>
              </c:numCache>
            </c:numRef>
          </c:val>
        </c:ser>
        <c:ser>
          <c:idx val="3"/>
          <c:order val="3"/>
          <c:tx>
            <c:strRef>
              <c:f>Sheet1!$G$40</c:f>
              <c:strCache>
                <c:ptCount val="1"/>
                <c:pt idx="0">
                  <c:v>县域总量</c:v>
                </c:pt>
              </c:strCache>
            </c:strRef>
          </c:tx>
          <c:invertIfNegative val="0"/>
          <c:cat>
            <c:strRef>
              <c:f>Sheet1!$C$41:$C$44</c:f>
              <c:strCache>
                <c:ptCount val="4"/>
                <c:pt idx="0">
                  <c:v>车险</c:v>
                </c:pt>
                <c:pt idx="1">
                  <c:v>商非</c:v>
                </c:pt>
                <c:pt idx="2">
                  <c:v>农险</c:v>
                </c:pt>
                <c:pt idx="3">
                  <c:v>保费</c:v>
                </c:pt>
              </c:strCache>
            </c:strRef>
          </c:cat>
          <c:val>
            <c:numRef>
              <c:f>Sheet1!$G$41:$G$44</c:f>
              <c:numCache>
                <c:formatCode>0_ </c:formatCode>
                <c:ptCount val="4"/>
                <c:pt idx="0">
                  <c:v>36282.924460999988</c:v>
                </c:pt>
                <c:pt idx="1">
                  <c:v>9501.0825780000014</c:v>
                </c:pt>
                <c:pt idx="2">
                  <c:v>15987.882100000001</c:v>
                </c:pt>
                <c:pt idx="3">
                  <c:v>61771.889138999992</c:v>
                </c:pt>
              </c:numCache>
            </c:numRef>
          </c:val>
        </c:ser>
        <c:dLbls>
          <c:showLegendKey val="0"/>
          <c:showVal val="0"/>
          <c:showCatName val="0"/>
          <c:showSerName val="0"/>
          <c:showPercent val="0"/>
          <c:showBubbleSize val="0"/>
        </c:dLbls>
        <c:gapWidth val="95"/>
        <c:gapDepth val="95"/>
        <c:shape val="box"/>
        <c:axId val="452318336"/>
        <c:axId val="452319872"/>
        <c:axId val="0"/>
      </c:bar3DChart>
      <c:catAx>
        <c:axId val="452318336"/>
        <c:scaling>
          <c:orientation val="minMax"/>
        </c:scaling>
        <c:delete val="0"/>
        <c:axPos val="b"/>
        <c:numFmt formatCode="General" sourceLinked="1"/>
        <c:majorTickMark val="none"/>
        <c:minorTickMark val="none"/>
        <c:tickLblPos val="nextTo"/>
        <c:crossAx val="452319872"/>
        <c:crosses val="autoZero"/>
        <c:auto val="1"/>
        <c:lblAlgn val="ctr"/>
        <c:lblOffset val="100"/>
        <c:noMultiLvlLbl val="0"/>
      </c:catAx>
      <c:valAx>
        <c:axId val="452319872"/>
        <c:scaling>
          <c:orientation val="minMax"/>
        </c:scaling>
        <c:delete val="0"/>
        <c:axPos val="l"/>
        <c:majorGridlines/>
        <c:numFmt formatCode="0_ " sourceLinked="1"/>
        <c:majorTickMark val="none"/>
        <c:minorTickMark val="none"/>
        <c:tickLblPos val="nextTo"/>
        <c:crossAx val="452318336"/>
        <c:crosses val="autoZero"/>
        <c:crossBetween val="between"/>
      </c:valAx>
      <c:dTable>
        <c:showHorzBorder val="1"/>
        <c:showVertBorder val="1"/>
        <c:showOutline val="1"/>
        <c:showKeys val="1"/>
        <c:txPr>
          <a:bodyPr/>
          <a:lstStyle/>
          <a:p>
            <a:pPr rtl="0">
              <a:defRPr b="1"/>
            </a:pPr>
            <a:endParaRPr lang="zh-CN"/>
          </a:p>
        </c:txPr>
      </c:dTable>
      <c:spPr>
        <a:noFill/>
        <a:ln w="25400">
          <a:noFill/>
        </a:ln>
      </c:spPr>
    </c:plotArea>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a:lstStyle/>
          <a:p>
            <a:pPr>
              <a:defRPr/>
            </a:pPr>
            <a:r>
              <a:rPr lang="en-US" altLang="zh-CN"/>
              <a:t>2020</a:t>
            </a:r>
            <a:r>
              <a:rPr lang="zh-CN" altLang="en-US"/>
              <a:t>年</a:t>
            </a:r>
            <a:r>
              <a:rPr lang="en-US" altLang="zh-CN"/>
              <a:t>1-9</a:t>
            </a:r>
            <a:r>
              <a:rPr lang="zh-CN" altLang="en-US"/>
              <a:t>月商业险结案率（</a:t>
            </a:r>
            <a:r>
              <a:rPr lang="en-US" altLang="zh-CN"/>
              <a:t>%</a:t>
            </a:r>
            <a:r>
              <a:rPr lang="zh-CN" altLang="en-US"/>
              <a:t>）</a:t>
            </a:r>
          </a:p>
        </c:rich>
      </c:tx>
      <c:overlay val="0"/>
      <c:spPr>
        <a:noFill/>
        <a:ln w="25400">
          <a:noFill/>
        </a:ln>
      </c:spPr>
    </c:title>
    <c:autoTitleDeleted val="0"/>
    <c:plotArea>
      <c:layout/>
      <c:barChart>
        <c:barDir val="col"/>
        <c:grouping val="clustered"/>
        <c:varyColors val="0"/>
        <c:ser>
          <c:idx val="0"/>
          <c:order val="0"/>
          <c:tx>
            <c:strRef>
              <c:f>Sheet2!$D$2</c:f>
              <c:strCache>
                <c:ptCount val="1"/>
                <c:pt idx="0">
                  <c:v>结案率</c:v>
                </c:pt>
              </c:strCache>
            </c:strRef>
          </c:tx>
          <c:spPr>
            <a:solidFill>
              <a:schemeClr val="accent2"/>
            </a:solidFill>
          </c:spPr>
          <c:invertIfNegative val="0"/>
          <c:dPt>
            <c:idx val="6"/>
            <c:invertIfNegative val="0"/>
            <c:bubble3D val="0"/>
          </c:dPt>
          <c:cat>
            <c:strRef>
              <c:f>Sheet2!$C$3:$C$23</c:f>
              <c:strCache>
                <c:ptCount val="21"/>
                <c:pt idx="0">
                  <c:v>富邦</c:v>
                </c:pt>
                <c:pt idx="1">
                  <c:v>华安</c:v>
                </c:pt>
                <c:pt idx="2">
                  <c:v>太平</c:v>
                </c:pt>
                <c:pt idx="3">
                  <c:v>亚太</c:v>
                </c:pt>
                <c:pt idx="4">
                  <c:v>浙商</c:v>
                </c:pt>
                <c:pt idx="5">
                  <c:v>大地</c:v>
                </c:pt>
                <c:pt idx="6">
                  <c:v>阳光</c:v>
                </c:pt>
                <c:pt idx="7">
                  <c:v>太平洋</c:v>
                </c:pt>
                <c:pt idx="8">
                  <c:v>中华联合</c:v>
                </c:pt>
                <c:pt idx="9">
                  <c:v>永安</c:v>
                </c:pt>
                <c:pt idx="10">
                  <c:v>中航安盟</c:v>
                </c:pt>
                <c:pt idx="11">
                  <c:v>平安</c:v>
                </c:pt>
                <c:pt idx="12">
                  <c:v>市均</c:v>
                </c:pt>
                <c:pt idx="13">
                  <c:v>国寿财</c:v>
                </c:pt>
                <c:pt idx="14">
                  <c:v>人保</c:v>
                </c:pt>
                <c:pt idx="15">
                  <c:v>英大泰和</c:v>
                </c:pt>
                <c:pt idx="16">
                  <c:v>渤海</c:v>
                </c:pt>
                <c:pt idx="17">
                  <c:v>安华</c:v>
                </c:pt>
                <c:pt idx="18">
                  <c:v>永诚</c:v>
                </c:pt>
                <c:pt idx="19">
                  <c:v>大家</c:v>
                </c:pt>
                <c:pt idx="20">
                  <c:v>天安</c:v>
                </c:pt>
              </c:strCache>
            </c:strRef>
          </c:cat>
          <c:val>
            <c:numRef>
              <c:f>Sheet2!$D$3:$D$23</c:f>
              <c:numCache>
                <c:formatCode>0.00%</c:formatCode>
                <c:ptCount val="21"/>
                <c:pt idx="0">
                  <c:v>0.946524064171123</c:v>
                </c:pt>
                <c:pt idx="1">
                  <c:v>0.93692307692307697</c:v>
                </c:pt>
                <c:pt idx="2">
                  <c:v>0.93179950698438785</c:v>
                </c:pt>
                <c:pt idx="3">
                  <c:v>0.92682926829268297</c:v>
                </c:pt>
                <c:pt idx="4">
                  <c:v>0.92673992673992678</c:v>
                </c:pt>
                <c:pt idx="5">
                  <c:v>0.913953488372093</c:v>
                </c:pt>
                <c:pt idx="6">
                  <c:v>0.90128331688055285</c:v>
                </c:pt>
                <c:pt idx="7">
                  <c:v>0.8970755791872389</c:v>
                </c:pt>
                <c:pt idx="8">
                  <c:v>0.89636688505062534</c:v>
                </c:pt>
                <c:pt idx="9">
                  <c:v>0.89433962264150946</c:v>
                </c:pt>
                <c:pt idx="10">
                  <c:v>0.8928571428571429</c:v>
                </c:pt>
                <c:pt idx="11">
                  <c:v>0.8900563813429011</c:v>
                </c:pt>
                <c:pt idx="12">
                  <c:v>0.88838700779256607</c:v>
                </c:pt>
                <c:pt idx="13">
                  <c:v>0.88802395209580842</c:v>
                </c:pt>
                <c:pt idx="14">
                  <c:v>0.87406581148912432</c:v>
                </c:pt>
                <c:pt idx="15">
                  <c:v>0.8626692456479691</c:v>
                </c:pt>
                <c:pt idx="16">
                  <c:v>0.83587786259541985</c:v>
                </c:pt>
                <c:pt idx="17">
                  <c:v>0.83582089552238803</c:v>
                </c:pt>
                <c:pt idx="18">
                  <c:v>0.83495145631067957</c:v>
                </c:pt>
                <c:pt idx="19">
                  <c:v>0.7931034482758621</c:v>
                </c:pt>
                <c:pt idx="20">
                  <c:v>0.76078431372549016</c:v>
                </c:pt>
              </c:numCache>
            </c:numRef>
          </c:val>
        </c:ser>
        <c:dLbls>
          <c:showLegendKey val="0"/>
          <c:showVal val="0"/>
          <c:showCatName val="0"/>
          <c:showSerName val="0"/>
          <c:showPercent val="0"/>
          <c:showBubbleSize val="0"/>
        </c:dLbls>
        <c:gapWidth val="150"/>
        <c:axId val="452346240"/>
        <c:axId val="452347776"/>
      </c:barChart>
      <c:catAx>
        <c:axId val="452346240"/>
        <c:scaling>
          <c:orientation val="minMax"/>
        </c:scaling>
        <c:delete val="0"/>
        <c:axPos val="b"/>
        <c:numFmt formatCode="General" sourceLinked="1"/>
        <c:majorTickMark val="none"/>
        <c:minorTickMark val="none"/>
        <c:tickLblPos val="nextTo"/>
        <c:crossAx val="452347776"/>
        <c:crosses val="autoZero"/>
        <c:auto val="1"/>
        <c:lblAlgn val="ctr"/>
        <c:lblOffset val="100"/>
        <c:noMultiLvlLbl val="0"/>
      </c:catAx>
      <c:valAx>
        <c:axId val="452347776"/>
        <c:scaling>
          <c:orientation val="minMax"/>
        </c:scaling>
        <c:delete val="0"/>
        <c:axPos val="l"/>
        <c:majorGridlines/>
        <c:numFmt formatCode="0.00%" sourceLinked="1"/>
        <c:majorTickMark val="none"/>
        <c:minorTickMark val="none"/>
        <c:tickLblPos val="nextTo"/>
        <c:crossAx val="452346240"/>
        <c:crosses val="autoZero"/>
        <c:crossBetween val="between"/>
      </c:valAx>
      <c:dTable>
        <c:showHorzBorder val="1"/>
        <c:showVertBorder val="1"/>
        <c:showOutline val="1"/>
        <c:showKeys val="1"/>
        <c:txPr>
          <a:bodyPr/>
          <a:lstStyle/>
          <a:p>
            <a:pPr rtl="0">
              <a:defRPr sz="800"/>
            </a:pPr>
            <a:endParaRPr lang="zh-CN"/>
          </a:p>
        </c:txPr>
      </c:dTable>
    </c:plotArea>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a:lstStyle/>
          <a:p>
            <a:pPr>
              <a:defRPr/>
            </a:pPr>
            <a:r>
              <a:rPr lang="en-US" altLang="zh-CN"/>
              <a:t>2020</a:t>
            </a:r>
            <a:r>
              <a:rPr lang="zh-CN" altLang="en-US"/>
              <a:t>年</a:t>
            </a:r>
            <a:r>
              <a:rPr lang="en-US" altLang="zh-CN"/>
              <a:t>1-9</a:t>
            </a:r>
            <a:r>
              <a:rPr lang="zh-CN" altLang="en-US"/>
              <a:t>月交强险结案率（</a:t>
            </a:r>
            <a:r>
              <a:rPr lang="en-US" altLang="zh-CN"/>
              <a:t>%</a:t>
            </a:r>
            <a:r>
              <a:rPr lang="zh-CN" altLang="en-US"/>
              <a:t>）</a:t>
            </a:r>
          </a:p>
        </c:rich>
      </c:tx>
      <c:overlay val="0"/>
      <c:spPr>
        <a:noFill/>
        <a:ln w="25400">
          <a:noFill/>
        </a:ln>
      </c:spPr>
    </c:title>
    <c:autoTitleDeleted val="0"/>
    <c:plotArea>
      <c:layout/>
      <c:barChart>
        <c:barDir val="col"/>
        <c:grouping val="clustered"/>
        <c:varyColors val="0"/>
        <c:ser>
          <c:idx val="0"/>
          <c:order val="0"/>
          <c:tx>
            <c:strRef>
              <c:f>Sheet2!$D$50</c:f>
              <c:strCache>
                <c:ptCount val="1"/>
                <c:pt idx="0">
                  <c:v>结案率</c:v>
                </c:pt>
              </c:strCache>
            </c:strRef>
          </c:tx>
          <c:spPr>
            <a:solidFill>
              <a:schemeClr val="accent2"/>
            </a:solidFill>
          </c:spPr>
          <c:invertIfNegative val="0"/>
          <c:dPt>
            <c:idx val="7"/>
            <c:invertIfNegative val="0"/>
            <c:bubble3D val="0"/>
          </c:dPt>
          <c:cat>
            <c:strRef>
              <c:f>Sheet2!$C$51:$C$71</c:f>
              <c:strCache>
                <c:ptCount val="21"/>
                <c:pt idx="0">
                  <c:v>中航安盟</c:v>
                </c:pt>
                <c:pt idx="1">
                  <c:v>华安</c:v>
                </c:pt>
                <c:pt idx="2">
                  <c:v>大地</c:v>
                </c:pt>
                <c:pt idx="3">
                  <c:v>永诚</c:v>
                </c:pt>
                <c:pt idx="4">
                  <c:v>富邦</c:v>
                </c:pt>
                <c:pt idx="5">
                  <c:v>天安</c:v>
                </c:pt>
                <c:pt idx="6">
                  <c:v>太平洋</c:v>
                </c:pt>
                <c:pt idx="7">
                  <c:v>太平</c:v>
                </c:pt>
                <c:pt idx="8">
                  <c:v>中华联合</c:v>
                </c:pt>
                <c:pt idx="9">
                  <c:v>浙商</c:v>
                </c:pt>
                <c:pt idx="10">
                  <c:v>永安</c:v>
                </c:pt>
                <c:pt idx="11">
                  <c:v>英大泰和</c:v>
                </c:pt>
                <c:pt idx="12">
                  <c:v>阳光</c:v>
                </c:pt>
                <c:pt idx="13">
                  <c:v>市均</c:v>
                </c:pt>
                <c:pt idx="14">
                  <c:v>大家</c:v>
                </c:pt>
                <c:pt idx="15">
                  <c:v>平安</c:v>
                </c:pt>
                <c:pt idx="16">
                  <c:v>渤海</c:v>
                </c:pt>
                <c:pt idx="17">
                  <c:v>国寿财</c:v>
                </c:pt>
                <c:pt idx="18">
                  <c:v>人保</c:v>
                </c:pt>
                <c:pt idx="19">
                  <c:v>安华</c:v>
                </c:pt>
                <c:pt idx="20">
                  <c:v>亚太</c:v>
                </c:pt>
              </c:strCache>
            </c:strRef>
          </c:cat>
          <c:val>
            <c:numRef>
              <c:f>Sheet2!$D$51:$D$71</c:f>
              <c:numCache>
                <c:formatCode>0.00%</c:formatCode>
                <c:ptCount val="21"/>
                <c:pt idx="0">
                  <c:v>0.9642857142857143</c:v>
                </c:pt>
                <c:pt idx="1">
                  <c:v>0.95913978494623653</c:v>
                </c:pt>
                <c:pt idx="2">
                  <c:v>0.95158597662771283</c:v>
                </c:pt>
                <c:pt idx="3">
                  <c:v>0.95</c:v>
                </c:pt>
                <c:pt idx="4">
                  <c:v>0.94897959183673475</c:v>
                </c:pt>
                <c:pt idx="5">
                  <c:v>0.94838709677419353</c:v>
                </c:pt>
                <c:pt idx="6">
                  <c:v>0.94227353463587926</c:v>
                </c:pt>
                <c:pt idx="7">
                  <c:v>0.93974630021141647</c:v>
                </c:pt>
                <c:pt idx="8">
                  <c:v>0.93664506839452844</c:v>
                </c:pt>
                <c:pt idx="9">
                  <c:v>0.92783505154639179</c:v>
                </c:pt>
                <c:pt idx="10">
                  <c:v>0.92018779342723001</c:v>
                </c:pt>
                <c:pt idx="11">
                  <c:v>0.91063829787234041</c:v>
                </c:pt>
                <c:pt idx="12">
                  <c:v>0.9101123595505618</c:v>
                </c:pt>
                <c:pt idx="13">
                  <c:v>0.89945872801082549</c:v>
                </c:pt>
                <c:pt idx="14">
                  <c:v>0.89473684210526316</c:v>
                </c:pt>
                <c:pt idx="15">
                  <c:v>0.89304595363969097</c:v>
                </c:pt>
                <c:pt idx="16">
                  <c:v>0.88275862068965516</c:v>
                </c:pt>
                <c:pt idx="17">
                  <c:v>0.87798634812286691</c:v>
                </c:pt>
                <c:pt idx="18">
                  <c:v>0.87102010238481709</c:v>
                </c:pt>
                <c:pt idx="19">
                  <c:v>0.86829268292682926</c:v>
                </c:pt>
                <c:pt idx="20">
                  <c:v>0.8</c:v>
                </c:pt>
              </c:numCache>
            </c:numRef>
          </c:val>
        </c:ser>
        <c:dLbls>
          <c:showLegendKey val="0"/>
          <c:showVal val="0"/>
          <c:showCatName val="0"/>
          <c:showSerName val="0"/>
          <c:showPercent val="0"/>
          <c:showBubbleSize val="0"/>
        </c:dLbls>
        <c:gapWidth val="150"/>
        <c:axId val="452385792"/>
        <c:axId val="452387584"/>
      </c:barChart>
      <c:catAx>
        <c:axId val="452385792"/>
        <c:scaling>
          <c:orientation val="minMax"/>
        </c:scaling>
        <c:delete val="0"/>
        <c:axPos val="b"/>
        <c:numFmt formatCode="General" sourceLinked="1"/>
        <c:majorTickMark val="none"/>
        <c:minorTickMark val="none"/>
        <c:tickLblPos val="nextTo"/>
        <c:crossAx val="452387584"/>
        <c:crosses val="autoZero"/>
        <c:auto val="1"/>
        <c:lblAlgn val="ctr"/>
        <c:lblOffset val="100"/>
        <c:noMultiLvlLbl val="0"/>
      </c:catAx>
      <c:valAx>
        <c:axId val="452387584"/>
        <c:scaling>
          <c:orientation val="minMax"/>
        </c:scaling>
        <c:delete val="0"/>
        <c:axPos val="l"/>
        <c:majorGridlines/>
        <c:numFmt formatCode="0.00%" sourceLinked="1"/>
        <c:majorTickMark val="none"/>
        <c:minorTickMark val="none"/>
        <c:tickLblPos val="nextTo"/>
        <c:crossAx val="452385792"/>
        <c:crosses val="autoZero"/>
        <c:crossBetween val="between"/>
      </c:valAx>
      <c:dTable>
        <c:showHorzBorder val="1"/>
        <c:showVertBorder val="1"/>
        <c:showOutline val="1"/>
        <c:showKeys val="1"/>
        <c:txPr>
          <a:bodyPr/>
          <a:lstStyle/>
          <a:p>
            <a:pPr rtl="0">
              <a:defRPr sz="800"/>
            </a:pPr>
            <a:endParaRPr lang="zh-CN"/>
          </a:p>
        </c:txPr>
      </c:dTable>
    </c:plotArea>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a:lstStyle/>
          <a:p>
            <a:pPr>
              <a:defRPr/>
            </a:pPr>
            <a:r>
              <a:rPr lang="en-US" altLang="zh-CN"/>
              <a:t>2020</a:t>
            </a:r>
            <a:r>
              <a:rPr lang="zh-CN" altLang="en-US"/>
              <a:t>年</a:t>
            </a:r>
            <a:r>
              <a:rPr lang="en-US" altLang="zh-CN"/>
              <a:t>1-9</a:t>
            </a:r>
            <a:r>
              <a:rPr lang="zh-CN" altLang="en-US"/>
              <a:t>月商业险结案周期（天）</a:t>
            </a:r>
          </a:p>
        </c:rich>
      </c:tx>
      <c:overlay val="0"/>
      <c:spPr>
        <a:noFill/>
        <a:ln w="25400">
          <a:noFill/>
        </a:ln>
      </c:spPr>
    </c:title>
    <c:autoTitleDeleted val="0"/>
    <c:plotArea>
      <c:layout/>
      <c:barChart>
        <c:barDir val="col"/>
        <c:grouping val="clustered"/>
        <c:varyColors val="0"/>
        <c:ser>
          <c:idx val="0"/>
          <c:order val="0"/>
          <c:tx>
            <c:strRef>
              <c:f>Sheet2!$D$26</c:f>
              <c:strCache>
                <c:ptCount val="1"/>
                <c:pt idx="0">
                  <c:v>结案周期</c:v>
                </c:pt>
              </c:strCache>
            </c:strRef>
          </c:tx>
          <c:invertIfNegative val="0"/>
          <c:dPt>
            <c:idx val="13"/>
            <c:invertIfNegative val="0"/>
            <c:bubble3D val="0"/>
            <c:spPr>
              <a:solidFill>
                <a:schemeClr val="accent1"/>
              </a:solidFill>
            </c:spPr>
          </c:dPt>
          <c:cat>
            <c:strRef>
              <c:f>Sheet2!$C$27:$C$47</c:f>
              <c:strCache>
                <c:ptCount val="21"/>
                <c:pt idx="0">
                  <c:v>永诚</c:v>
                </c:pt>
                <c:pt idx="1">
                  <c:v>华安</c:v>
                </c:pt>
                <c:pt idx="2">
                  <c:v>亚太</c:v>
                </c:pt>
                <c:pt idx="3">
                  <c:v>英大泰和</c:v>
                </c:pt>
                <c:pt idx="4">
                  <c:v>太平</c:v>
                </c:pt>
                <c:pt idx="5">
                  <c:v>阳光</c:v>
                </c:pt>
                <c:pt idx="6">
                  <c:v>中华联合</c:v>
                </c:pt>
                <c:pt idx="7">
                  <c:v>中航安盟</c:v>
                </c:pt>
                <c:pt idx="8">
                  <c:v>大地</c:v>
                </c:pt>
                <c:pt idx="9">
                  <c:v>太平洋</c:v>
                </c:pt>
                <c:pt idx="10">
                  <c:v>平安</c:v>
                </c:pt>
                <c:pt idx="11">
                  <c:v>永安</c:v>
                </c:pt>
                <c:pt idx="12">
                  <c:v>富邦</c:v>
                </c:pt>
                <c:pt idx="13">
                  <c:v>市均</c:v>
                </c:pt>
                <c:pt idx="14">
                  <c:v>国寿财</c:v>
                </c:pt>
                <c:pt idx="15">
                  <c:v>浙商</c:v>
                </c:pt>
                <c:pt idx="16">
                  <c:v>大家</c:v>
                </c:pt>
                <c:pt idx="17">
                  <c:v>天安</c:v>
                </c:pt>
                <c:pt idx="18">
                  <c:v>人保</c:v>
                </c:pt>
                <c:pt idx="19">
                  <c:v>渤海</c:v>
                </c:pt>
                <c:pt idx="20">
                  <c:v>安华</c:v>
                </c:pt>
              </c:strCache>
            </c:strRef>
          </c:cat>
          <c:val>
            <c:numRef>
              <c:f>Sheet2!$D$27:$D$47</c:f>
              <c:numCache>
                <c:formatCode>0.00_);[Red]\(0.00\)</c:formatCode>
                <c:ptCount val="21"/>
                <c:pt idx="0">
                  <c:v>5.6279069767441863</c:v>
                </c:pt>
                <c:pt idx="1">
                  <c:v>5.9261083743842367</c:v>
                </c:pt>
                <c:pt idx="2">
                  <c:v>7.4035087719298245</c:v>
                </c:pt>
                <c:pt idx="3">
                  <c:v>8.6771300448430502</c:v>
                </c:pt>
                <c:pt idx="4">
                  <c:v>8.9276895943562611</c:v>
                </c:pt>
                <c:pt idx="5">
                  <c:v>9.0492880613362541</c:v>
                </c:pt>
                <c:pt idx="6">
                  <c:v>9.5581395348837201</c:v>
                </c:pt>
                <c:pt idx="7" formatCode="0.00_ ">
                  <c:v>10.4</c:v>
                </c:pt>
                <c:pt idx="8">
                  <c:v>11.178117048346056</c:v>
                </c:pt>
                <c:pt idx="9">
                  <c:v>11.936917866215072</c:v>
                </c:pt>
                <c:pt idx="10">
                  <c:v>12.421825511085517</c:v>
                </c:pt>
                <c:pt idx="11" formatCode="0.00_ ">
                  <c:v>12.757383966244726</c:v>
                </c:pt>
                <c:pt idx="12" formatCode="0.00_ ">
                  <c:v>12.76271186440678</c:v>
                </c:pt>
                <c:pt idx="13">
                  <c:v>13.064234426547642</c:v>
                </c:pt>
                <c:pt idx="14">
                  <c:v>13.15576534052596</c:v>
                </c:pt>
                <c:pt idx="15">
                  <c:v>13.245059288537549</c:v>
                </c:pt>
                <c:pt idx="16">
                  <c:v>15.391304347826088</c:v>
                </c:pt>
                <c:pt idx="17">
                  <c:v>15.979381443298969</c:v>
                </c:pt>
                <c:pt idx="18">
                  <c:v>16.379147524247063</c:v>
                </c:pt>
                <c:pt idx="19">
                  <c:v>17.639269406392692</c:v>
                </c:pt>
                <c:pt idx="20">
                  <c:v>30.44047619047619</c:v>
                </c:pt>
              </c:numCache>
            </c:numRef>
          </c:val>
        </c:ser>
        <c:dLbls>
          <c:showLegendKey val="0"/>
          <c:showVal val="0"/>
          <c:showCatName val="0"/>
          <c:showSerName val="0"/>
          <c:showPercent val="0"/>
          <c:showBubbleSize val="0"/>
        </c:dLbls>
        <c:gapWidth val="150"/>
        <c:axId val="452397312"/>
        <c:axId val="452427776"/>
      </c:barChart>
      <c:catAx>
        <c:axId val="452397312"/>
        <c:scaling>
          <c:orientation val="minMax"/>
        </c:scaling>
        <c:delete val="0"/>
        <c:axPos val="b"/>
        <c:numFmt formatCode="General" sourceLinked="1"/>
        <c:majorTickMark val="none"/>
        <c:minorTickMark val="none"/>
        <c:tickLblPos val="nextTo"/>
        <c:crossAx val="452427776"/>
        <c:crosses val="autoZero"/>
        <c:auto val="1"/>
        <c:lblAlgn val="ctr"/>
        <c:lblOffset val="100"/>
        <c:noMultiLvlLbl val="0"/>
      </c:catAx>
      <c:valAx>
        <c:axId val="452427776"/>
        <c:scaling>
          <c:orientation val="minMax"/>
        </c:scaling>
        <c:delete val="0"/>
        <c:axPos val="l"/>
        <c:majorGridlines/>
        <c:numFmt formatCode="0.00_);[Red]\(0.00\)" sourceLinked="1"/>
        <c:majorTickMark val="none"/>
        <c:minorTickMark val="none"/>
        <c:tickLblPos val="nextTo"/>
        <c:crossAx val="452397312"/>
        <c:crosses val="autoZero"/>
        <c:crossBetween val="between"/>
      </c:valAx>
      <c:dTable>
        <c:showHorzBorder val="1"/>
        <c:showVertBorder val="1"/>
        <c:showOutline val="1"/>
        <c:showKeys val="1"/>
        <c:txPr>
          <a:bodyPr/>
          <a:lstStyle/>
          <a:p>
            <a:pPr rtl="0">
              <a:defRPr sz="800"/>
            </a:pPr>
            <a:endParaRPr lang="zh-CN"/>
          </a:p>
        </c:txPr>
      </c:dTable>
    </c:plotArea>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a:lstStyle/>
          <a:p>
            <a:pPr>
              <a:defRPr/>
            </a:pPr>
            <a:r>
              <a:rPr lang="en-US" altLang="zh-CN"/>
              <a:t>2020</a:t>
            </a:r>
            <a:r>
              <a:rPr lang="zh-CN" altLang="en-US"/>
              <a:t>年</a:t>
            </a:r>
            <a:r>
              <a:rPr lang="en-US" altLang="zh-CN"/>
              <a:t>1-9</a:t>
            </a:r>
            <a:r>
              <a:rPr lang="zh-CN" altLang="en-US"/>
              <a:t>月交强险结案周期（天）</a:t>
            </a:r>
          </a:p>
        </c:rich>
      </c:tx>
      <c:overlay val="0"/>
      <c:spPr>
        <a:noFill/>
        <a:ln w="25400">
          <a:noFill/>
        </a:ln>
      </c:spPr>
    </c:title>
    <c:autoTitleDeleted val="0"/>
    <c:plotArea>
      <c:layout/>
      <c:barChart>
        <c:barDir val="col"/>
        <c:grouping val="clustered"/>
        <c:varyColors val="0"/>
        <c:ser>
          <c:idx val="0"/>
          <c:order val="0"/>
          <c:tx>
            <c:strRef>
              <c:f>Sheet2!$D$75</c:f>
              <c:strCache>
                <c:ptCount val="1"/>
                <c:pt idx="0">
                  <c:v>结案周期</c:v>
                </c:pt>
              </c:strCache>
            </c:strRef>
          </c:tx>
          <c:spPr>
            <a:solidFill>
              <a:schemeClr val="accent2"/>
            </a:solidFill>
          </c:spPr>
          <c:invertIfNegative val="0"/>
          <c:dPt>
            <c:idx val="11"/>
            <c:invertIfNegative val="0"/>
            <c:bubble3D val="0"/>
          </c:dPt>
          <c:cat>
            <c:strRef>
              <c:f>Sheet2!$C$76:$C$96</c:f>
              <c:strCache>
                <c:ptCount val="21"/>
                <c:pt idx="0">
                  <c:v>华安</c:v>
                </c:pt>
                <c:pt idx="1">
                  <c:v>永诚</c:v>
                </c:pt>
                <c:pt idx="2">
                  <c:v>太平洋</c:v>
                </c:pt>
                <c:pt idx="3">
                  <c:v>中华联合</c:v>
                </c:pt>
                <c:pt idx="4">
                  <c:v>英大泰和</c:v>
                </c:pt>
                <c:pt idx="5">
                  <c:v>阳光</c:v>
                </c:pt>
                <c:pt idx="6">
                  <c:v>大地</c:v>
                </c:pt>
                <c:pt idx="7">
                  <c:v>太平</c:v>
                </c:pt>
                <c:pt idx="8">
                  <c:v>亚太</c:v>
                </c:pt>
                <c:pt idx="9">
                  <c:v>市均</c:v>
                </c:pt>
                <c:pt idx="10">
                  <c:v>国寿财</c:v>
                </c:pt>
                <c:pt idx="11">
                  <c:v>永安</c:v>
                </c:pt>
                <c:pt idx="12">
                  <c:v>渤海</c:v>
                </c:pt>
                <c:pt idx="13">
                  <c:v>中航安盟</c:v>
                </c:pt>
                <c:pt idx="14">
                  <c:v>人保</c:v>
                </c:pt>
                <c:pt idx="15">
                  <c:v>大家</c:v>
                </c:pt>
                <c:pt idx="16">
                  <c:v>平安</c:v>
                </c:pt>
                <c:pt idx="17">
                  <c:v>天安</c:v>
                </c:pt>
                <c:pt idx="18">
                  <c:v>富邦</c:v>
                </c:pt>
                <c:pt idx="19">
                  <c:v>浙商</c:v>
                </c:pt>
                <c:pt idx="20">
                  <c:v>安华</c:v>
                </c:pt>
              </c:strCache>
            </c:strRef>
          </c:cat>
          <c:val>
            <c:numRef>
              <c:f>Sheet2!$D$76:$D$96</c:f>
              <c:numCache>
                <c:formatCode>0.00_);[Red]\(0.00\)</c:formatCode>
                <c:ptCount val="21"/>
                <c:pt idx="0">
                  <c:v>5.6210762331838566</c:v>
                </c:pt>
                <c:pt idx="1">
                  <c:v>5.7157894736842101</c:v>
                </c:pt>
                <c:pt idx="2">
                  <c:v>5.7902921771913292</c:v>
                </c:pt>
                <c:pt idx="3">
                  <c:v>6.3897002305918527</c:v>
                </c:pt>
                <c:pt idx="4">
                  <c:v>6.490654205607477</c:v>
                </c:pt>
                <c:pt idx="5">
                  <c:v>7.6743827160493829</c:v>
                </c:pt>
                <c:pt idx="6">
                  <c:v>7.7228070175438592</c:v>
                </c:pt>
                <c:pt idx="7">
                  <c:v>8.4836895388076492</c:v>
                </c:pt>
                <c:pt idx="8">
                  <c:v>9.75</c:v>
                </c:pt>
                <c:pt idx="9" formatCode="0.00_ ">
                  <c:v>10.561606739882654</c:v>
                </c:pt>
                <c:pt idx="10">
                  <c:v>10.62293488824101</c:v>
                </c:pt>
                <c:pt idx="11">
                  <c:v>11.318877551020408</c:v>
                </c:pt>
                <c:pt idx="12">
                  <c:v>11.359375</c:v>
                </c:pt>
                <c:pt idx="13" formatCode="0.00_ ">
                  <c:v>11.74074074074074</c:v>
                </c:pt>
                <c:pt idx="14">
                  <c:v>11.846330275229358</c:v>
                </c:pt>
                <c:pt idx="15">
                  <c:v>12.176470588235293</c:v>
                </c:pt>
                <c:pt idx="16">
                  <c:v>12.940346083788707</c:v>
                </c:pt>
                <c:pt idx="17">
                  <c:v>13.639455782312925</c:v>
                </c:pt>
                <c:pt idx="18">
                  <c:v>14.295698924731182</c:v>
                </c:pt>
                <c:pt idx="19">
                  <c:v>14.861111111111111</c:v>
                </c:pt>
                <c:pt idx="20">
                  <c:v>25.028089887640448</c:v>
                </c:pt>
              </c:numCache>
            </c:numRef>
          </c:val>
        </c:ser>
        <c:dLbls>
          <c:showLegendKey val="0"/>
          <c:showVal val="0"/>
          <c:showCatName val="0"/>
          <c:showSerName val="0"/>
          <c:showPercent val="0"/>
          <c:showBubbleSize val="0"/>
        </c:dLbls>
        <c:gapWidth val="150"/>
        <c:axId val="452449024"/>
        <c:axId val="452450560"/>
      </c:barChart>
      <c:catAx>
        <c:axId val="452449024"/>
        <c:scaling>
          <c:orientation val="minMax"/>
        </c:scaling>
        <c:delete val="0"/>
        <c:axPos val="b"/>
        <c:numFmt formatCode="General" sourceLinked="1"/>
        <c:majorTickMark val="none"/>
        <c:minorTickMark val="none"/>
        <c:tickLblPos val="nextTo"/>
        <c:crossAx val="452450560"/>
        <c:crosses val="autoZero"/>
        <c:auto val="1"/>
        <c:lblAlgn val="ctr"/>
        <c:lblOffset val="100"/>
        <c:noMultiLvlLbl val="0"/>
      </c:catAx>
      <c:valAx>
        <c:axId val="452450560"/>
        <c:scaling>
          <c:orientation val="minMax"/>
        </c:scaling>
        <c:delete val="0"/>
        <c:axPos val="l"/>
        <c:majorGridlines/>
        <c:numFmt formatCode="0.00_);[Red]\(0.00\)" sourceLinked="1"/>
        <c:majorTickMark val="none"/>
        <c:minorTickMark val="none"/>
        <c:tickLblPos val="nextTo"/>
        <c:crossAx val="452449024"/>
        <c:crosses val="autoZero"/>
        <c:crossBetween val="between"/>
      </c:valAx>
      <c:dTable>
        <c:showHorzBorder val="1"/>
        <c:showVertBorder val="1"/>
        <c:showOutline val="1"/>
        <c:showKeys val="1"/>
        <c:txPr>
          <a:bodyPr/>
          <a:lstStyle/>
          <a:p>
            <a:pPr rtl="0">
              <a:defRPr sz="800"/>
            </a:pPr>
            <a:endParaRPr lang="zh-CN"/>
          </a:p>
        </c:txPr>
      </c:dTable>
    </c:plotArea>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0" i="0" u="none" strike="noStrike" baseline="0">
                <a:solidFill>
                  <a:srgbClr val="000000"/>
                </a:solidFill>
                <a:latin typeface="宋体"/>
                <a:ea typeface="宋体"/>
                <a:cs typeface="宋体"/>
              </a:defRPr>
            </a:pPr>
            <a:r>
              <a:rPr lang="en-US" altLang="zh-CN" sz="1800" b="1" i="0" u="none" strike="noStrike" baseline="0">
                <a:solidFill>
                  <a:srgbClr val="000000"/>
                </a:solidFill>
                <a:latin typeface="+mn-ea"/>
                <a:ea typeface="+mn-ea"/>
              </a:rPr>
              <a:t>2020</a:t>
            </a:r>
            <a:r>
              <a:rPr lang="zh-CN" altLang="en-US" sz="1800" b="1" i="0" u="none" strike="noStrike" baseline="0">
                <a:solidFill>
                  <a:srgbClr val="000000"/>
                </a:solidFill>
                <a:latin typeface="+mn-ea"/>
                <a:ea typeface="+mn-ea"/>
              </a:rPr>
              <a:t>年</a:t>
            </a:r>
            <a:r>
              <a:rPr lang="en-US" altLang="zh-CN" sz="1800" b="1" i="0" u="none" strike="noStrike" baseline="0">
                <a:solidFill>
                  <a:srgbClr val="000000"/>
                </a:solidFill>
                <a:latin typeface="+mn-ea"/>
                <a:ea typeface="+mn-ea"/>
              </a:rPr>
              <a:t>9</a:t>
            </a:r>
            <a:r>
              <a:rPr lang="zh-CN" altLang="en-US" sz="1800" b="1" i="0" u="none" strike="noStrike" baseline="0">
                <a:solidFill>
                  <a:srgbClr val="000000"/>
                </a:solidFill>
                <a:latin typeface="+mn-ea"/>
                <a:ea typeface="+mn-ea"/>
              </a:rPr>
              <a:t>月末各主体综合成本率（</a:t>
            </a:r>
            <a:r>
              <a:rPr lang="en-US" altLang="zh-CN" sz="1800" b="1" i="0" u="none" strike="noStrike" baseline="0">
                <a:solidFill>
                  <a:srgbClr val="000000"/>
                </a:solidFill>
                <a:latin typeface="+mn-ea"/>
                <a:ea typeface="+mn-ea"/>
              </a:rPr>
              <a:t>%</a:t>
            </a:r>
            <a:r>
              <a:rPr lang="zh-CN" altLang="en-US" sz="1800" b="1" i="0" u="none" strike="noStrike" baseline="0">
                <a:solidFill>
                  <a:srgbClr val="000000"/>
                </a:solidFill>
                <a:latin typeface="+mn-ea"/>
                <a:ea typeface="+mn-ea"/>
              </a:rPr>
              <a:t>）</a:t>
            </a:r>
          </a:p>
        </c:rich>
      </c:tx>
      <c:layout>
        <c:manualLayout>
          <c:xMode val="edge"/>
          <c:yMode val="edge"/>
          <c:x val="0.15853175228436414"/>
          <c:y val="4.7311811934023562E-2"/>
        </c:manualLayout>
      </c:layout>
      <c:overlay val="0"/>
      <c:spPr>
        <a:noFill/>
        <a:ln w="25400">
          <a:noFill/>
        </a:ln>
      </c:spPr>
    </c:title>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0.14554700031648224"/>
          <c:y val="0.22367628814218335"/>
          <c:w val="0.85230592470968847"/>
          <c:h val="0.49857979897390603"/>
        </c:manualLayout>
      </c:layout>
      <c:bar3DChart>
        <c:barDir val="col"/>
        <c:grouping val="clustered"/>
        <c:varyColors val="0"/>
        <c:ser>
          <c:idx val="0"/>
          <c:order val="0"/>
          <c:tx>
            <c:strRef>
              <c:f>'综合成本率 (2)'!$B$1</c:f>
              <c:strCache>
                <c:ptCount val="1"/>
                <c:pt idx="0">
                  <c:v>综合成本率</c:v>
                </c:pt>
              </c:strCache>
            </c:strRef>
          </c:tx>
          <c:spPr>
            <a:solidFill>
              <a:schemeClr val="accent2"/>
            </a:solidFill>
          </c:spPr>
          <c:invertIfNegative val="0"/>
          <c:cat>
            <c:strRef>
              <c:f>'综合成本率 (2)'!$A$2:$A$21</c:f>
              <c:strCache>
                <c:ptCount val="20"/>
                <c:pt idx="0">
                  <c:v>安华</c:v>
                </c:pt>
                <c:pt idx="1">
                  <c:v>天安</c:v>
                </c:pt>
                <c:pt idx="2">
                  <c:v>人保</c:v>
                </c:pt>
                <c:pt idx="3">
                  <c:v>永城</c:v>
                </c:pt>
                <c:pt idx="4">
                  <c:v>渤海</c:v>
                </c:pt>
                <c:pt idx="5">
                  <c:v>阳光</c:v>
                </c:pt>
                <c:pt idx="6">
                  <c:v>国寿财</c:v>
                </c:pt>
                <c:pt idx="7">
                  <c:v>太平</c:v>
                </c:pt>
                <c:pt idx="8">
                  <c:v>太平洋</c:v>
                </c:pt>
                <c:pt idx="9">
                  <c:v>平安</c:v>
                </c:pt>
                <c:pt idx="10">
                  <c:v>永安</c:v>
                </c:pt>
                <c:pt idx="11">
                  <c:v>华安</c:v>
                </c:pt>
                <c:pt idx="12">
                  <c:v>大地</c:v>
                </c:pt>
                <c:pt idx="13">
                  <c:v>中华联合</c:v>
                </c:pt>
                <c:pt idx="14">
                  <c:v>大家</c:v>
                </c:pt>
                <c:pt idx="15">
                  <c:v>浙商</c:v>
                </c:pt>
                <c:pt idx="16">
                  <c:v>富邦</c:v>
                </c:pt>
                <c:pt idx="17">
                  <c:v>英大</c:v>
                </c:pt>
                <c:pt idx="18">
                  <c:v>中航安盟</c:v>
                </c:pt>
                <c:pt idx="19">
                  <c:v>亚太</c:v>
                </c:pt>
              </c:strCache>
            </c:strRef>
          </c:cat>
          <c:val>
            <c:numRef>
              <c:f>'综合成本率 (2)'!$B$2:$B$21</c:f>
              <c:numCache>
                <c:formatCode>0.00%</c:formatCode>
                <c:ptCount val="20"/>
                <c:pt idx="0">
                  <c:v>0.30009999999999998</c:v>
                </c:pt>
                <c:pt idx="1">
                  <c:v>0.81589999999999996</c:v>
                </c:pt>
                <c:pt idx="2">
                  <c:v>0.88549999999999995</c:v>
                </c:pt>
                <c:pt idx="3">
                  <c:v>0.89370000000000005</c:v>
                </c:pt>
                <c:pt idx="4">
                  <c:v>0.90269999999999995</c:v>
                </c:pt>
                <c:pt idx="5">
                  <c:v>0.90410000000000001</c:v>
                </c:pt>
                <c:pt idx="6">
                  <c:v>0.91320000000000001</c:v>
                </c:pt>
                <c:pt idx="7">
                  <c:v>0.9173</c:v>
                </c:pt>
                <c:pt idx="8">
                  <c:v>0.94879999999999998</c:v>
                </c:pt>
                <c:pt idx="9">
                  <c:v>0.97230000000000005</c:v>
                </c:pt>
                <c:pt idx="10">
                  <c:v>1.0038</c:v>
                </c:pt>
                <c:pt idx="11">
                  <c:v>1.0095000000000001</c:v>
                </c:pt>
                <c:pt idx="12">
                  <c:v>1.0701000000000001</c:v>
                </c:pt>
                <c:pt idx="13">
                  <c:v>1.0710999999999999</c:v>
                </c:pt>
                <c:pt idx="14">
                  <c:v>1.121</c:v>
                </c:pt>
                <c:pt idx="15">
                  <c:v>1.1373</c:v>
                </c:pt>
                <c:pt idx="16">
                  <c:v>1.1512</c:v>
                </c:pt>
                <c:pt idx="17">
                  <c:v>1.2174</c:v>
                </c:pt>
                <c:pt idx="18">
                  <c:v>1.2337</c:v>
                </c:pt>
                <c:pt idx="19">
                  <c:v>1.2477</c:v>
                </c:pt>
              </c:numCache>
            </c:numRef>
          </c:val>
        </c:ser>
        <c:dLbls>
          <c:showLegendKey val="0"/>
          <c:showVal val="0"/>
          <c:showCatName val="0"/>
          <c:showSerName val="0"/>
          <c:showPercent val="0"/>
          <c:showBubbleSize val="0"/>
        </c:dLbls>
        <c:gapWidth val="150"/>
        <c:shape val="box"/>
        <c:axId val="452472192"/>
        <c:axId val="452473984"/>
        <c:axId val="0"/>
      </c:bar3DChart>
      <c:catAx>
        <c:axId val="452472192"/>
        <c:scaling>
          <c:orientation val="minMax"/>
        </c:scaling>
        <c:delete val="0"/>
        <c:axPos val="b"/>
        <c:numFmt formatCode="General" sourceLinked="1"/>
        <c:majorTickMark val="none"/>
        <c:minorTickMark val="none"/>
        <c:tickLblPos val="nextTo"/>
        <c:crossAx val="452473984"/>
        <c:crosses val="autoZero"/>
        <c:auto val="1"/>
        <c:lblAlgn val="ctr"/>
        <c:lblOffset val="100"/>
        <c:noMultiLvlLbl val="0"/>
      </c:catAx>
      <c:valAx>
        <c:axId val="452473984"/>
        <c:scaling>
          <c:orientation val="minMax"/>
        </c:scaling>
        <c:delete val="0"/>
        <c:axPos val="l"/>
        <c:majorGridlines/>
        <c:numFmt formatCode="0.00%" sourceLinked="1"/>
        <c:majorTickMark val="none"/>
        <c:minorTickMark val="none"/>
        <c:tickLblPos val="nextTo"/>
        <c:crossAx val="452472192"/>
        <c:crosses val="autoZero"/>
        <c:crossBetween val="between"/>
      </c:valAx>
      <c:dTable>
        <c:showHorzBorder val="1"/>
        <c:showVertBorder val="1"/>
        <c:showOutline val="1"/>
        <c:showKeys val="1"/>
        <c:txPr>
          <a:bodyPr/>
          <a:lstStyle/>
          <a:p>
            <a:pPr rtl="0">
              <a:defRPr sz="800"/>
            </a:pPr>
            <a:endParaRPr lang="zh-CN"/>
          </a:p>
        </c:txPr>
      </c:dTable>
      <c:spPr>
        <a:noFill/>
        <a:ln w="25400">
          <a:noFill/>
        </a:ln>
      </c:spPr>
    </c:plotArea>
    <c:plotVisOnly val="1"/>
    <c:dispBlanksAs val="gap"/>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0" i="0" u="none" strike="noStrike" baseline="0">
                <a:solidFill>
                  <a:srgbClr val="000000"/>
                </a:solidFill>
                <a:latin typeface="宋体"/>
                <a:ea typeface="宋体"/>
                <a:cs typeface="宋体"/>
              </a:defRPr>
            </a:pPr>
            <a:r>
              <a:rPr lang="en-US" altLang="zh-CN" sz="1800" b="1" i="0" u="none" strike="noStrike" baseline="0">
                <a:solidFill>
                  <a:srgbClr val="000000"/>
                </a:solidFill>
                <a:latin typeface="+mn-ea"/>
                <a:ea typeface="+mn-ea"/>
              </a:rPr>
              <a:t>2020</a:t>
            </a:r>
            <a:r>
              <a:rPr lang="zh-CN" altLang="en-US" sz="1800" b="1" i="0" u="none" strike="noStrike" baseline="0">
                <a:solidFill>
                  <a:srgbClr val="000000"/>
                </a:solidFill>
                <a:latin typeface="+mn-ea"/>
                <a:ea typeface="+mn-ea"/>
              </a:rPr>
              <a:t>年</a:t>
            </a:r>
            <a:r>
              <a:rPr lang="en-US" altLang="zh-CN" sz="1800" b="1" i="0" u="none" strike="noStrike" baseline="0">
                <a:solidFill>
                  <a:srgbClr val="000000"/>
                </a:solidFill>
                <a:latin typeface="+mn-ea"/>
                <a:ea typeface="+mn-ea"/>
              </a:rPr>
              <a:t>9</a:t>
            </a:r>
            <a:r>
              <a:rPr lang="zh-CN" altLang="en-US" sz="1800" b="1" i="0" u="none" strike="noStrike" baseline="0">
                <a:solidFill>
                  <a:srgbClr val="000000"/>
                </a:solidFill>
                <a:latin typeface="+mn-ea"/>
                <a:ea typeface="+mn-ea"/>
              </a:rPr>
              <a:t>月末各主体车险综合成本率（</a:t>
            </a:r>
            <a:r>
              <a:rPr lang="en-US" altLang="zh-CN" sz="1800" b="1" i="0" u="none" strike="noStrike" baseline="0">
                <a:solidFill>
                  <a:srgbClr val="000000"/>
                </a:solidFill>
                <a:latin typeface="+mn-ea"/>
                <a:ea typeface="+mn-ea"/>
              </a:rPr>
              <a:t>%</a:t>
            </a:r>
            <a:r>
              <a:rPr lang="zh-CN" altLang="en-US" sz="1800" b="1" i="0" u="none" strike="noStrike" baseline="0">
                <a:solidFill>
                  <a:srgbClr val="000000"/>
                </a:solidFill>
                <a:latin typeface="+mn-ea"/>
                <a:ea typeface="+mn-ea"/>
              </a:rPr>
              <a:t>）</a:t>
            </a:r>
          </a:p>
        </c:rich>
      </c:tx>
      <c:overlay val="0"/>
      <c:spPr>
        <a:noFill/>
        <a:ln w="25400">
          <a:noFill/>
        </a:ln>
      </c:spPr>
    </c:title>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0.14554700031648224"/>
          <c:y val="0.22367628814218335"/>
          <c:w val="0.85230592470968847"/>
          <c:h val="0.49857979897390603"/>
        </c:manualLayout>
      </c:layout>
      <c:bar3DChart>
        <c:barDir val="col"/>
        <c:grouping val="clustered"/>
        <c:varyColors val="0"/>
        <c:ser>
          <c:idx val="0"/>
          <c:order val="0"/>
          <c:tx>
            <c:strRef>
              <c:f>车综合成本率!$B$1</c:f>
              <c:strCache>
                <c:ptCount val="1"/>
                <c:pt idx="0">
                  <c:v>综合成本率</c:v>
                </c:pt>
              </c:strCache>
            </c:strRef>
          </c:tx>
          <c:spPr>
            <a:solidFill>
              <a:schemeClr val="accent2"/>
            </a:solidFill>
          </c:spPr>
          <c:invertIfNegative val="0"/>
          <c:cat>
            <c:strRef>
              <c:f>车综合成本率!$A$2:$A$21</c:f>
              <c:strCache>
                <c:ptCount val="20"/>
                <c:pt idx="0">
                  <c:v>中航安盟</c:v>
                </c:pt>
                <c:pt idx="1">
                  <c:v>天安</c:v>
                </c:pt>
                <c:pt idx="2">
                  <c:v>渤海</c:v>
                </c:pt>
                <c:pt idx="3">
                  <c:v>太平</c:v>
                </c:pt>
                <c:pt idx="4">
                  <c:v>国寿财</c:v>
                </c:pt>
                <c:pt idx="5">
                  <c:v>太平洋</c:v>
                </c:pt>
                <c:pt idx="6">
                  <c:v>人保</c:v>
                </c:pt>
                <c:pt idx="7">
                  <c:v>亚太</c:v>
                </c:pt>
                <c:pt idx="8">
                  <c:v>阳光</c:v>
                </c:pt>
                <c:pt idx="9">
                  <c:v>中华联合</c:v>
                </c:pt>
                <c:pt idx="10">
                  <c:v>平安</c:v>
                </c:pt>
                <c:pt idx="11">
                  <c:v>华安</c:v>
                </c:pt>
                <c:pt idx="12">
                  <c:v>永安</c:v>
                </c:pt>
                <c:pt idx="13">
                  <c:v>大地</c:v>
                </c:pt>
                <c:pt idx="14">
                  <c:v>永城</c:v>
                </c:pt>
                <c:pt idx="15">
                  <c:v>大家</c:v>
                </c:pt>
                <c:pt idx="16">
                  <c:v>安华</c:v>
                </c:pt>
                <c:pt idx="17">
                  <c:v>浙商</c:v>
                </c:pt>
                <c:pt idx="18">
                  <c:v>富邦</c:v>
                </c:pt>
                <c:pt idx="19">
                  <c:v>英大</c:v>
                </c:pt>
              </c:strCache>
            </c:strRef>
          </c:cat>
          <c:val>
            <c:numRef>
              <c:f>车综合成本率!$B$2:$B$21</c:f>
              <c:numCache>
                <c:formatCode>0.00%</c:formatCode>
                <c:ptCount val="20"/>
                <c:pt idx="0">
                  <c:v>0.62419999999999998</c:v>
                </c:pt>
                <c:pt idx="1">
                  <c:v>0.75160000000000005</c:v>
                </c:pt>
                <c:pt idx="2">
                  <c:v>0.91379999999999995</c:v>
                </c:pt>
                <c:pt idx="3">
                  <c:v>0.91910000000000003</c:v>
                </c:pt>
                <c:pt idx="4">
                  <c:v>0.92559999999999998</c:v>
                </c:pt>
                <c:pt idx="5">
                  <c:v>0.93169999999999997</c:v>
                </c:pt>
                <c:pt idx="6">
                  <c:v>0.93820000000000003</c:v>
                </c:pt>
                <c:pt idx="7">
                  <c:v>0.94730000000000003</c:v>
                </c:pt>
                <c:pt idx="8">
                  <c:v>0.94750000000000001</c:v>
                </c:pt>
                <c:pt idx="9">
                  <c:v>0.95189999999999997</c:v>
                </c:pt>
                <c:pt idx="10">
                  <c:v>0.99950000000000006</c:v>
                </c:pt>
                <c:pt idx="11">
                  <c:v>1.0112000000000001</c:v>
                </c:pt>
                <c:pt idx="12">
                  <c:v>1.0270999999999999</c:v>
                </c:pt>
                <c:pt idx="13">
                  <c:v>1.0333000000000001</c:v>
                </c:pt>
                <c:pt idx="14">
                  <c:v>1.0339</c:v>
                </c:pt>
                <c:pt idx="15">
                  <c:v>1.0713999999999999</c:v>
                </c:pt>
                <c:pt idx="16">
                  <c:v>1.147</c:v>
                </c:pt>
                <c:pt idx="17">
                  <c:v>1.1669</c:v>
                </c:pt>
                <c:pt idx="18">
                  <c:v>1.1721999999999999</c:v>
                </c:pt>
                <c:pt idx="19">
                  <c:v>1.224</c:v>
                </c:pt>
              </c:numCache>
            </c:numRef>
          </c:val>
        </c:ser>
        <c:dLbls>
          <c:showLegendKey val="0"/>
          <c:showVal val="0"/>
          <c:showCatName val="0"/>
          <c:showSerName val="0"/>
          <c:showPercent val="0"/>
          <c:showBubbleSize val="0"/>
        </c:dLbls>
        <c:gapWidth val="150"/>
        <c:shape val="box"/>
        <c:axId val="452491904"/>
        <c:axId val="452514176"/>
        <c:axId val="0"/>
      </c:bar3DChart>
      <c:catAx>
        <c:axId val="452491904"/>
        <c:scaling>
          <c:orientation val="minMax"/>
        </c:scaling>
        <c:delete val="0"/>
        <c:axPos val="b"/>
        <c:numFmt formatCode="General" sourceLinked="1"/>
        <c:majorTickMark val="none"/>
        <c:minorTickMark val="none"/>
        <c:tickLblPos val="nextTo"/>
        <c:crossAx val="452514176"/>
        <c:crosses val="autoZero"/>
        <c:auto val="1"/>
        <c:lblAlgn val="ctr"/>
        <c:lblOffset val="100"/>
        <c:noMultiLvlLbl val="0"/>
      </c:catAx>
      <c:valAx>
        <c:axId val="452514176"/>
        <c:scaling>
          <c:orientation val="minMax"/>
        </c:scaling>
        <c:delete val="0"/>
        <c:axPos val="l"/>
        <c:majorGridlines/>
        <c:numFmt formatCode="0.00%" sourceLinked="1"/>
        <c:majorTickMark val="none"/>
        <c:minorTickMark val="none"/>
        <c:tickLblPos val="nextTo"/>
        <c:crossAx val="452491904"/>
        <c:crosses val="autoZero"/>
        <c:crossBetween val="between"/>
      </c:valAx>
      <c:dTable>
        <c:showHorzBorder val="1"/>
        <c:showVertBorder val="1"/>
        <c:showOutline val="1"/>
        <c:showKeys val="1"/>
        <c:txPr>
          <a:bodyPr/>
          <a:lstStyle/>
          <a:p>
            <a:pPr rtl="0">
              <a:defRPr sz="800"/>
            </a:pPr>
            <a:endParaRPr lang="zh-CN"/>
          </a:p>
        </c:txPr>
      </c:dTable>
      <c:spPr>
        <a:noFill/>
        <a:ln w="25400">
          <a:noFill/>
        </a:ln>
      </c:spPr>
    </c:plotArea>
    <c:plotVisOnly val="1"/>
    <c:dispBlanksAs val="gap"/>
    <c:showDLblsOverMax val="0"/>
  </c:chart>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ltLang="zh-CN"/>
              <a:t>2020</a:t>
            </a:r>
            <a:r>
              <a:rPr lang="zh-CN" altLang="en-US"/>
              <a:t>年</a:t>
            </a:r>
            <a:r>
              <a:rPr lang="en-US" altLang="zh-CN"/>
              <a:t>9</a:t>
            </a:r>
            <a:r>
              <a:rPr lang="zh-CN" altLang="en-US"/>
              <a:t>月末各主体农险综合成本率</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农险综合成本率!$C$37</c:f>
              <c:strCache>
                <c:ptCount val="1"/>
                <c:pt idx="0">
                  <c:v>上半年各主体农险综合成本率情况</c:v>
                </c:pt>
              </c:strCache>
            </c:strRef>
          </c:tx>
          <c:invertIfNegative val="0"/>
          <c:dLbls>
            <c:dLbl>
              <c:idx val="4"/>
              <c:tx>
                <c:rich>
                  <a:bodyPr/>
                  <a:lstStyle/>
                  <a:p>
                    <a:r>
                      <a:rPr lang="en-US" altLang="zh-CN" sz="1200"/>
                      <a:t>-</a:t>
                    </a:r>
                    <a:r>
                      <a:rPr lang="en-US" altLang="en-US" sz="1200"/>
                      <a:t>29.39%</a:t>
                    </a:r>
                    <a:endParaRPr lang="en-US" altLang="en-US"/>
                  </a:p>
                </c:rich>
              </c:tx>
              <c:showLegendKey val="0"/>
              <c:showVal val="1"/>
              <c:showCatName val="0"/>
              <c:showSerName val="0"/>
              <c:showPercent val="0"/>
              <c:showBubbleSize val="0"/>
            </c:dLbl>
            <c:txPr>
              <a:bodyPr/>
              <a:lstStyle/>
              <a:p>
                <a:pPr>
                  <a:defRPr sz="1200" b="1">
                    <a:solidFill>
                      <a:srgbClr val="C00000"/>
                    </a:solidFill>
                  </a:defRPr>
                </a:pPr>
                <a:endParaRPr lang="zh-CN"/>
              </a:p>
            </c:txPr>
            <c:showLegendKey val="0"/>
            <c:showVal val="1"/>
            <c:showCatName val="0"/>
            <c:showSerName val="0"/>
            <c:showPercent val="0"/>
            <c:showBubbleSize val="0"/>
            <c:showLeaderLines val="0"/>
          </c:dLbls>
          <c:cat>
            <c:strRef>
              <c:f>农险综合成本率!$B$38:$B$43</c:f>
              <c:strCache>
                <c:ptCount val="6"/>
                <c:pt idx="0">
                  <c:v>人保</c:v>
                </c:pt>
                <c:pt idx="1">
                  <c:v>太平洋</c:v>
                </c:pt>
                <c:pt idx="2">
                  <c:v>中华联合</c:v>
                </c:pt>
                <c:pt idx="3">
                  <c:v>国寿财</c:v>
                </c:pt>
                <c:pt idx="4">
                  <c:v>安华</c:v>
                </c:pt>
                <c:pt idx="5">
                  <c:v>中航安盟</c:v>
                </c:pt>
              </c:strCache>
            </c:strRef>
          </c:cat>
          <c:val>
            <c:numRef>
              <c:f>农险综合成本率!$C$38:$C$43</c:f>
              <c:numCache>
                <c:formatCode>0.00%</c:formatCode>
                <c:ptCount val="6"/>
                <c:pt idx="0">
                  <c:v>0.32769999999999999</c:v>
                </c:pt>
                <c:pt idx="1">
                  <c:v>0.72699999999999998</c:v>
                </c:pt>
                <c:pt idx="2">
                  <c:v>0.84909999999999997</c:v>
                </c:pt>
                <c:pt idx="3">
                  <c:v>0.42280000000000001</c:v>
                </c:pt>
                <c:pt idx="4">
                  <c:v>-0.29389999999999999</c:v>
                </c:pt>
                <c:pt idx="5">
                  <c:v>1.2871999999999999</c:v>
                </c:pt>
              </c:numCache>
            </c:numRef>
          </c:val>
        </c:ser>
        <c:dLbls>
          <c:showLegendKey val="0"/>
          <c:showVal val="0"/>
          <c:showCatName val="0"/>
          <c:showSerName val="0"/>
          <c:showPercent val="0"/>
          <c:showBubbleSize val="0"/>
        </c:dLbls>
        <c:gapWidth val="150"/>
        <c:shape val="box"/>
        <c:axId val="452544768"/>
        <c:axId val="452554752"/>
        <c:axId val="0"/>
      </c:bar3DChart>
      <c:catAx>
        <c:axId val="452544768"/>
        <c:scaling>
          <c:orientation val="minMax"/>
        </c:scaling>
        <c:delete val="0"/>
        <c:axPos val="b"/>
        <c:majorTickMark val="out"/>
        <c:minorTickMark val="none"/>
        <c:tickLblPos val="nextTo"/>
        <c:txPr>
          <a:bodyPr/>
          <a:lstStyle/>
          <a:p>
            <a:pPr>
              <a:defRPr sz="1400" b="1">
                <a:solidFill>
                  <a:sysClr val="windowText" lastClr="000000"/>
                </a:solidFill>
              </a:defRPr>
            </a:pPr>
            <a:endParaRPr lang="zh-CN"/>
          </a:p>
        </c:txPr>
        <c:crossAx val="452554752"/>
        <c:crosses val="autoZero"/>
        <c:auto val="1"/>
        <c:lblAlgn val="ctr"/>
        <c:lblOffset val="100"/>
        <c:noMultiLvlLbl val="0"/>
      </c:catAx>
      <c:valAx>
        <c:axId val="452554752"/>
        <c:scaling>
          <c:orientation val="minMax"/>
        </c:scaling>
        <c:delete val="1"/>
        <c:axPos val="l"/>
        <c:numFmt formatCode="0.00%" sourceLinked="1"/>
        <c:majorTickMark val="out"/>
        <c:minorTickMark val="none"/>
        <c:tickLblPos val="nextTo"/>
        <c:crossAx val="452544768"/>
        <c:crosses val="autoZero"/>
        <c:crossBetween val="between"/>
      </c:valAx>
      <c:spPr>
        <a:noFill/>
      </c:spPr>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a:lstStyle/>
          <a:p>
            <a:pPr>
              <a:defRPr sz="1800">
                <a:latin typeface="+mn-ea"/>
                <a:ea typeface="+mn-ea"/>
              </a:defRPr>
            </a:pPr>
            <a:r>
              <a:rPr lang="en-US" altLang="zh-CN" sz="1800" b="1" baseline="0">
                <a:latin typeface="+mn-ea"/>
                <a:ea typeface="+mn-ea"/>
              </a:rPr>
              <a:t>2020</a:t>
            </a:r>
            <a:r>
              <a:rPr lang="zh-CN" sz="1800" b="1" baseline="0">
                <a:latin typeface="+mn-ea"/>
                <a:ea typeface="+mn-ea"/>
              </a:rPr>
              <a:t>年</a:t>
            </a:r>
            <a:r>
              <a:rPr lang="en-US" altLang="zh-CN" sz="1800" b="1" baseline="0">
                <a:latin typeface="+mn-ea"/>
                <a:ea typeface="+mn-ea"/>
              </a:rPr>
              <a:t>9</a:t>
            </a:r>
            <a:r>
              <a:rPr lang="zh-CN" altLang="en-US" sz="1800" b="1" baseline="0">
                <a:latin typeface="+mn-ea"/>
                <a:ea typeface="+mn-ea"/>
              </a:rPr>
              <a:t>月末</a:t>
            </a:r>
            <a:r>
              <a:rPr lang="zh-CN" sz="1800" b="1" baseline="0">
                <a:latin typeface="+mn-ea"/>
                <a:ea typeface="+mn-ea"/>
              </a:rPr>
              <a:t>各机构业务增速</a:t>
            </a:r>
            <a:r>
              <a:rPr lang="en-US" altLang="zh-CN" sz="1800" b="1" baseline="0">
                <a:latin typeface="+mn-ea"/>
                <a:ea typeface="+mn-ea"/>
              </a:rPr>
              <a:t>%</a:t>
            </a:r>
            <a:endParaRPr lang="zh-CN" sz="1800" b="1" baseline="0">
              <a:latin typeface="+mn-ea"/>
              <a:ea typeface="+mn-ea"/>
            </a:endParaRPr>
          </a:p>
        </c:rich>
      </c:tx>
      <c:layout>
        <c:manualLayout>
          <c:xMode val="edge"/>
          <c:yMode val="edge"/>
          <c:x val="0.23421949300625353"/>
          <c:y val="2.8938060549917881E-3"/>
        </c:manualLayout>
      </c:layout>
      <c:overlay val="0"/>
      <c:spPr>
        <a:noFill/>
        <a:ln w="25400">
          <a:noFill/>
        </a:ln>
      </c:spPr>
    </c:title>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8.2901606811343703E-2"/>
          <c:y val="0.32625192121255114"/>
          <c:w val="0.90543230266948338"/>
          <c:h val="0.49023645692937029"/>
        </c:manualLayout>
      </c:layout>
      <c:bar3DChart>
        <c:barDir val="col"/>
        <c:grouping val="clustered"/>
        <c:varyColors val="0"/>
        <c:ser>
          <c:idx val="0"/>
          <c:order val="0"/>
          <c:tx>
            <c:strRef>
              <c:f>Sheet1!$B$1</c:f>
              <c:strCache>
                <c:ptCount val="1"/>
                <c:pt idx="0">
                  <c:v>增速</c:v>
                </c:pt>
              </c:strCache>
            </c:strRef>
          </c:tx>
          <c:invertIfNegative val="0"/>
          <c:cat>
            <c:strRef>
              <c:f>Sheet1!$A$2:$A$21</c:f>
              <c:strCache>
                <c:ptCount val="20"/>
                <c:pt idx="0">
                  <c:v>人保</c:v>
                </c:pt>
                <c:pt idx="1">
                  <c:v>太平洋</c:v>
                </c:pt>
                <c:pt idx="2">
                  <c:v>平安</c:v>
                </c:pt>
                <c:pt idx="3">
                  <c:v>中华联合</c:v>
                </c:pt>
                <c:pt idx="4">
                  <c:v>天安</c:v>
                </c:pt>
                <c:pt idx="5">
                  <c:v>大地</c:v>
                </c:pt>
                <c:pt idx="6">
                  <c:v>永安</c:v>
                </c:pt>
                <c:pt idx="7">
                  <c:v>大家</c:v>
                </c:pt>
                <c:pt idx="8">
                  <c:v>太平</c:v>
                </c:pt>
                <c:pt idx="9">
                  <c:v>永诚</c:v>
                </c:pt>
                <c:pt idx="10">
                  <c:v>国寿财</c:v>
                </c:pt>
                <c:pt idx="11">
                  <c:v>华安</c:v>
                </c:pt>
                <c:pt idx="12">
                  <c:v>阳光</c:v>
                </c:pt>
                <c:pt idx="13">
                  <c:v>安华</c:v>
                </c:pt>
                <c:pt idx="14">
                  <c:v>中航安盟</c:v>
                </c:pt>
                <c:pt idx="15">
                  <c:v>浙商</c:v>
                </c:pt>
                <c:pt idx="16">
                  <c:v>英大</c:v>
                </c:pt>
                <c:pt idx="17">
                  <c:v>富邦</c:v>
                </c:pt>
                <c:pt idx="18">
                  <c:v>亚太</c:v>
                </c:pt>
                <c:pt idx="19">
                  <c:v>渤海</c:v>
                </c:pt>
              </c:strCache>
            </c:strRef>
          </c:cat>
          <c:val>
            <c:numRef>
              <c:f>Sheet1!$B$2:$B$21</c:f>
              <c:numCache>
                <c:formatCode>0.00%</c:formatCode>
                <c:ptCount val="20"/>
                <c:pt idx="0">
                  <c:v>9.8512158967827806E-2</c:v>
                </c:pt>
                <c:pt idx="1">
                  <c:v>0.55712737390404066</c:v>
                </c:pt>
                <c:pt idx="2">
                  <c:v>8.1050122012172099E-2</c:v>
                </c:pt>
                <c:pt idx="3">
                  <c:v>0.10881304075803735</c:v>
                </c:pt>
                <c:pt idx="4">
                  <c:v>0.14427790890364664</c:v>
                </c:pt>
                <c:pt idx="5">
                  <c:v>-0.38147372101383004</c:v>
                </c:pt>
                <c:pt idx="6">
                  <c:v>-0.16483773699211063</c:v>
                </c:pt>
                <c:pt idx="7">
                  <c:v>3.7363134751773042</c:v>
                </c:pt>
                <c:pt idx="8">
                  <c:v>0.14844939230130533</c:v>
                </c:pt>
                <c:pt idx="9">
                  <c:v>-0.17316036797451062</c:v>
                </c:pt>
                <c:pt idx="10">
                  <c:v>0.11675109891724286</c:v>
                </c:pt>
                <c:pt idx="11">
                  <c:v>0.26089403363056823</c:v>
                </c:pt>
                <c:pt idx="12">
                  <c:v>5.3701873317197807E-2</c:v>
                </c:pt>
                <c:pt idx="13">
                  <c:v>0.4880020048869117</c:v>
                </c:pt>
                <c:pt idx="14">
                  <c:v>0.12739263472892468</c:v>
                </c:pt>
                <c:pt idx="15">
                  <c:v>-0.511067808877539</c:v>
                </c:pt>
                <c:pt idx="16">
                  <c:v>0.29442061774472877</c:v>
                </c:pt>
                <c:pt idx="17">
                  <c:v>-0.25554100769571325</c:v>
                </c:pt>
                <c:pt idx="18">
                  <c:v>-0.44186280426473556</c:v>
                </c:pt>
                <c:pt idx="19">
                  <c:v>-0.21295624254204154</c:v>
                </c:pt>
              </c:numCache>
            </c:numRef>
          </c:val>
        </c:ser>
        <c:dLbls>
          <c:showLegendKey val="0"/>
          <c:showVal val="0"/>
          <c:showCatName val="0"/>
          <c:showSerName val="0"/>
          <c:showPercent val="0"/>
          <c:showBubbleSize val="0"/>
        </c:dLbls>
        <c:gapWidth val="150"/>
        <c:shape val="box"/>
        <c:axId val="348396928"/>
        <c:axId val="348411008"/>
        <c:axId val="0"/>
      </c:bar3DChart>
      <c:catAx>
        <c:axId val="348396928"/>
        <c:scaling>
          <c:orientation val="minMax"/>
        </c:scaling>
        <c:delete val="0"/>
        <c:axPos val="b"/>
        <c:numFmt formatCode="General" sourceLinked="1"/>
        <c:majorTickMark val="none"/>
        <c:minorTickMark val="none"/>
        <c:tickLblPos val="nextTo"/>
        <c:crossAx val="348411008"/>
        <c:crosses val="autoZero"/>
        <c:auto val="1"/>
        <c:lblAlgn val="ctr"/>
        <c:lblOffset val="100"/>
        <c:noMultiLvlLbl val="0"/>
      </c:catAx>
      <c:valAx>
        <c:axId val="348411008"/>
        <c:scaling>
          <c:orientation val="minMax"/>
        </c:scaling>
        <c:delete val="1"/>
        <c:axPos val="l"/>
        <c:majorGridlines/>
        <c:numFmt formatCode="0.00%" sourceLinked="1"/>
        <c:majorTickMark val="none"/>
        <c:minorTickMark val="none"/>
        <c:tickLblPos val="nextTo"/>
        <c:crossAx val="348396928"/>
        <c:crosses val="autoZero"/>
        <c:crossBetween val="between"/>
      </c:valAx>
      <c:dTable>
        <c:showHorzBorder val="1"/>
        <c:showVertBorder val="1"/>
        <c:showOutline val="1"/>
        <c:showKeys val="1"/>
        <c:txPr>
          <a:bodyPr/>
          <a:lstStyle/>
          <a:p>
            <a:pPr rtl="0">
              <a:defRPr sz="800"/>
            </a:pPr>
            <a:endParaRPr lang="zh-CN"/>
          </a:p>
        </c:txPr>
      </c:dTable>
      <c:spPr>
        <a:noFill/>
        <a:ln w="25400">
          <a:noFill/>
        </a:ln>
      </c:spPr>
    </c:plotArea>
    <c:plotVisOnly val="1"/>
    <c:dispBlanksAs val="gap"/>
    <c:showDLblsOverMax val="0"/>
  </c:chart>
  <c:txPr>
    <a:bodyPr/>
    <a:lstStyle/>
    <a:p>
      <a:pPr>
        <a:defRPr sz="800"/>
      </a:pPr>
      <a:endParaRPr lang="zh-CN"/>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ltLang="zh-CN"/>
              <a:t>2020</a:t>
            </a:r>
            <a:r>
              <a:rPr lang="zh-CN" altLang="en-US"/>
              <a:t>年</a:t>
            </a:r>
            <a:r>
              <a:rPr lang="en-US" altLang="zh-CN"/>
              <a:t>9</a:t>
            </a:r>
            <a:r>
              <a:rPr lang="zh-CN" altLang="en-US"/>
              <a:t>月末农险综合成本率</a:t>
            </a:r>
          </a:p>
        </c:rich>
      </c:tx>
      <c:overlay val="0"/>
    </c:title>
    <c:autoTitleDeleted val="0"/>
    <c:plotArea>
      <c:layout/>
      <c:barChart>
        <c:barDir val="col"/>
        <c:grouping val="clustered"/>
        <c:varyColors val="0"/>
        <c:ser>
          <c:idx val="0"/>
          <c:order val="0"/>
          <c:tx>
            <c:strRef>
              <c:f>农险综合成本率!$B$23</c:f>
              <c:strCache>
                <c:ptCount val="1"/>
                <c:pt idx="0">
                  <c:v>上半年农险综合成本率</c:v>
                </c:pt>
              </c:strCache>
            </c:strRef>
          </c:tx>
          <c:invertIfNegative val="0"/>
          <c:dPt>
            <c:idx val="0"/>
            <c:invertIfNegative val="0"/>
            <c:bubble3D val="0"/>
            <c:spPr>
              <a:solidFill>
                <a:schemeClr val="accent2"/>
              </a:solidFill>
            </c:spPr>
          </c:dPt>
          <c:dPt>
            <c:idx val="2"/>
            <c:invertIfNegative val="0"/>
            <c:bubble3D val="0"/>
            <c:spPr>
              <a:solidFill>
                <a:schemeClr val="accent5"/>
              </a:solidFill>
            </c:spPr>
          </c:dPt>
          <c:dPt>
            <c:idx val="3"/>
            <c:invertIfNegative val="0"/>
            <c:bubble3D val="0"/>
            <c:spPr>
              <a:solidFill>
                <a:schemeClr val="accent6"/>
              </a:solidFill>
            </c:spPr>
          </c:dPt>
          <c:dLbls>
            <c:txPr>
              <a:bodyPr/>
              <a:lstStyle/>
              <a:p>
                <a:pPr>
                  <a:defRPr sz="1200" b="1">
                    <a:solidFill>
                      <a:srgbClr val="C00000"/>
                    </a:solidFill>
                  </a:defRPr>
                </a:pPr>
                <a:endParaRPr lang="zh-CN"/>
              </a:p>
            </c:txPr>
            <c:showLegendKey val="0"/>
            <c:showVal val="1"/>
            <c:showCatName val="0"/>
            <c:showSerName val="0"/>
            <c:showPercent val="0"/>
            <c:showBubbleSize val="0"/>
            <c:showLeaderLines val="0"/>
          </c:dLbls>
          <c:cat>
            <c:strRef>
              <c:f>农险综合成本率!$A$24:$A$27</c:f>
              <c:strCache>
                <c:ptCount val="4"/>
                <c:pt idx="0">
                  <c:v>农险（合计）</c:v>
                </c:pt>
                <c:pt idx="1">
                  <c:v>种植险</c:v>
                </c:pt>
                <c:pt idx="2">
                  <c:v>养殖险</c:v>
                </c:pt>
                <c:pt idx="3">
                  <c:v>森林险</c:v>
                </c:pt>
              </c:strCache>
            </c:strRef>
          </c:cat>
          <c:val>
            <c:numRef>
              <c:f>农险综合成本率!$B$24:$B$27</c:f>
              <c:numCache>
                <c:formatCode>0.00%</c:formatCode>
                <c:ptCount val="4"/>
                <c:pt idx="0">
                  <c:v>0.72000238536899996</c:v>
                </c:pt>
                <c:pt idx="1">
                  <c:v>0.771011028446</c:v>
                </c:pt>
                <c:pt idx="2">
                  <c:v>0.71653460220200005</c:v>
                </c:pt>
                <c:pt idx="3">
                  <c:v>6.4176991493999996E-2</c:v>
                </c:pt>
              </c:numCache>
            </c:numRef>
          </c:val>
        </c:ser>
        <c:dLbls>
          <c:showLegendKey val="0"/>
          <c:showVal val="0"/>
          <c:showCatName val="0"/>
          <c:showSerName val="0"/>
          <c:showPercent val="0"/>
          <c:showBubbleSize val="0"/>
        </c:dLbls>
        <c:gapWidth val="150"/>
        <c:axId val="452592768"/>
        <c:axId val="452594304"/>
      </c:barChart>
      <c:catAx>
        <c:axId val="452592768"/>
        <c:scaling>
          <c:orientation val="minMax"/>
        </c:scaling>
        <c:delete val="0"/>
        <c:axPos val="b"/>
        <c:majorTickMark val="out"/>
        <c:minorTickMark val="none"/>
        <c:tickLblPos val="nextTo"/>
        <c:txPr>
          <a:bodyPr/>
          <a:lstStyle/>
          <a:p>
            <a:pPr>
              <a:defRPr sz="1400" b="1">
                <a:solidFill>
                  <a:sysClr val="windowText" lastClr="000000"/>
                </a:solidFill>
              </a:defRPr>
            </a:pPr>
            <a:endParaRPr lang="zh-CN"/>
          </a:p>
        </c:txPr>
        <c:crossAx val="452594304"/>
        <c:crosses val="autoZero"/>
        <c:auto val="1"/>
        <c:lblAlgn val="ctr"/>
        <c:lblOffset val="100"/>
        <c:noMultiLvlLbl val="0"/>
      </c:catAx>
      <c:valAx>
        <c:axId val="452594304"/>
        <c:scaling>
          <c:orientation val="minMax"/>
        </c:scaling>
        <c:delete val="1"/>
        <c:axPos val="l"/>
        <c:majorGridlines/>
        <c:numFmt formatCode="0.00%" sourceLinked="1"/>
        <c:majorTickMark val="out"/>
        <c:minorTickMark val="none"/>
        <c:tickLblPos val="nextTo"/>
        <c:crossAx val="452592768"/>
        <c:crosses val="autoZero"/>
        <c:crossBetween val="between"/>
      </c:valAx>
      <c:spPr>
        <a:noFill/>
        <a:ln w="25400">
          <a:noFill/>
        </a:ln>
      </c:spPr>
    </c:plotArea>
    <c:plotVisOnly val="1"/>
    <c:dispBlanksAs val="gap"/>
    <c:showDLblsOverMax val="0"/>
  </c:chart>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ltLang="zh-CN"/>
              <a:t>2020</a:t>
            </a:r>
            <a:r>
              <a:rPr lang="zh-CN" altLang="en-US"/>
              <a:t>年</a:t>
            </a:r>
            <a:r>
              <a:rPr lang="en-US" altLang="zh-CN"/>
              <a:t>9</a:t>
            </a:r>
            <a:r>
              <a:rPr lang="zh-CN" altLang="en-US"/>
              <a:t>月末商非各险种综合成本率</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商非综合成本率!$B$1</c:f>
              <c:strCache>
                <c:ptCount val="1"/>
                <c:pt idx="0">
                  <c:v>1季度商非各险种综合成本率</c:v>
                </c:pt>
              </c:strCache>
            </c:strRef>
          </c:tx>
          <c:invertIfNegative val="0"/>
          <c:dLbls>
            <c:dLbl>
              <c:idx val="0"/>
              <c:layout>
                <c:manualLayout>
                  <c:x val="-5.2245590713096486E-2"/>
                  <c:y val="5.6840636310783116E-3"/>
                </c:manualLayout>
              </c:layout>
              <c:showLegendKey val="0"/>
              <c:showVal val="1"/>
              <c:showCatName val="0"/>
              <c:showSerName val="0"/>
              <c:showPercent val="0"/>
              <c:showBubbleSize val="0"/>
            </c:dLbl>
            <c:dLbl>
              <c:idx val="1"/>
              <c:layout>
                <c:manualLayout>
                  <c:x val="-9.9515410882088547E-3"/>
                  <c:y val="-8.5260954466174654E-2"/>
                </c:manualLayout>
              </c:layout>
              <c:showLegendKey val="0"/>
              <c:showVal val="1"/>
              <c:showCatName val="0"/>
              <c:showSerName val="0"/>
              <c:showPercent val="0"/>
              <c:showBubbleSize val="0"/>
            </c:dLbl>
            <c:dLbl>
              <c:idx val="2"/>
              <c:layout>
                <c:manualLayout>
                  <c:x val="4.9757705441044273E-3"/>
                  <c:y val="-4.5472509048626493E-2"/>
                </c:manualLayout>
              </c:layout>
              <c:showLegendKey val="0"/>
              <c:showVal val="1"/>
              <c:showCatName val="0"/>
              <c:showSerName val="0"/>
              <c:showPercent val="0"/>
              <c:showBubbleSize val="0"/>
            </c:dLbl>
            <c:dLbl>
              <c:idx val="3"/>
              <c:layout>
                <c:manualLayout>
                  <c:x val="1.2439426360261067E-2"/>
                  <c:y val="2.8420318155391557E-2"/>
                </c:manualLayout>
              </c:layout>
              <c:showLegendKey val="0"/>
              <c:showVal val="1"/>
              <c:showCatName val="0"/>
              <c:showSerName val="0"/>
              <c:showPercent val="0"/>
              <c:showBubbleSize val="0"/>
            </c:dLbl>
            <c:dLbl>
              <c:idx val="4"/>
              <c:layout>
                <c:manualLayout>
                  <c:x val="4.7269820168992054E-2"/>
                  <c:y val="-2.2736254524313246E-2"/>
                </c:manualLayout>
              </c:layout>
              <c:showLegendKey val="0"/>
              <c:showVal val="1"/>
              <c:showCatName val="0"/>
              <c:showSerName val="0"/>
              <c:showPercent val="0"/>
              <c:showBubbleSize val="0"/>
            </c:dLbl>
            <c:dLbl>
              <c:idx val="5"/>
              <c:layout>
                <c:manualLayout>
                  <c:x val="3.9806164352835419E-2"/>
                  <c:y val="0"/>
                </c:manualLayout>
              </c:layout>
              <c:showLegendKey val="0"/>
              <c:showVal val="1"/>
              <c:showCatName val="0"/>
              <c:showSerName val="0"/>
              <c:showPercent val="0"/>
              <c:showBubbleSize val="0"/>
            </c:dLbl>
            <c:dLbl>
              <c:idx val="6"/>
              <c:layout>
                <c:manualLayout>
                  <c:x val="2.3395080875505011E-2"/>
                  <c:y val="0.13641842227401035"/>
                </c:manualLayout>
              </c:layout>
              <c:showLegendKey val="0"/>
              <c:showVal val="1"/>
              <c:showCatName val="0"/>
              <c:showSerName val="0"/>
              <c:showPercent val="0"/>
              <c:showBubbleSize val="0"/>
            </c:dLbl>
            <c:dLbl>
              <c:idx val="9"/>
              <c:layout>
                <c:manualLayout>
                  <c:x val="5.7221361257200912E-2"/>
                  <c:y val="-4.5472509048626493E-2"/>
                </c:manualLayout>
              </c:layout>
              <c:showLegendKey val="0"/>
              <c:showVal val="1"/>
              <c:showCatName val="0"/>
              <c:showSerName val="0"/>
              <c:showPercent val="0"/>
              <c:showBubbleSize val="0"/>
            </c:dLbl>
            <c:txPr>
              <a:bodyPr/>
              <a:lstStyle/>
              <a:p>
                <a:pPr>
                  <a:defRPr sz="1200" b="1">
                    <a:solidFill>
                      <a:srgbClr val="C00000"/>
                    </a:solidFill>
                  </a:defRPr>
                </a:pPr>
                <a:endParaRPr lang="zh-CN"/>
              </a:p>
            </c:txPr>
            <c:showLegendKey val="0"/>
            <c:showVal val="1"/>
            <c:showCatName val="0"/>
            <c:showSerName val="0"/>
            <c:showPercent val="0"/>
            <c:showBubbleSize val="0"/>
            <c:showLeaderLines val="0"/>
          </c:dLbls>
          <c:cat>
            <c:strRef>
              <c:f>商非综合成本率!$A$2:$A$11</c:f>
              <c:strCache>
                <c:ptCount val="10"/>
                <c:pt idx="0">
                  <c:v>企财</c:v>
                </c:pt>
                <c:pt idx="1">
                  <c:v>家财</c:v>
                </c:pt>
                <c:pt idx="2">
                  <c:v>责任</c:v>
                </c:pt>
                <c:pt idx="3">
                  <c:v>货运</c:v>
                </c:pt>
                <c:pt idx="4">
                  <c:v>意健</c:v>
                </c:pt>
                <c:pt idx="5">
                  <c:v>工程</c:v>
                </c:pt>
                <c:pt idx="6">
                  <c:v>信用</c:v>
                </c:pt>
                <c:pt idx="7">
                  <c:v>保证</c:v>
                </c:pt>
                <c:pt idx="8">
                  <c:v>船舶</c:v>
                </c:pt>
                <c:pt idx="9">
                  <c:v>商非合计</c:v>
                </c:pt>
              </c:strCache>
            </c:strRef>
          </c:cat>
          <c:val>
            <c:numRef>
              <c:f>商非综合成本率!$B$2:$B$11</c:f>
              <c:numCache>
                <c:formatCode>0.00%</c:formatCode>
                <c:ptCount val="10"/>
                <c:pt idx="0">
                  <c:v>1.0173699962</c:v>
                </c:pt>
                <c:pt idx="1">
                  <c:v>1.1257391997549999</c:v>
                </c:pt>
                <c:pt idx="2">
                  <c:v>0.94071839985399996</c:v>
                </c:pt>
                <c:pt idx="3">
                  <c:v>0.939473407589</c:v>
                </c:pt>
                <c:pt idx="4">
                  <c:v>0.91497396230000005</c:v>
                </c:pt>
                <c:pt idx="5">
                  <c:v>0.56509993739200004</c:v>
                </c:pt>
                <c:pt idx="6">
                  <c:v>-0.28831891414299998</c:v>
                </c:pt>
                <c:pt idx="7">
                  <c:v>1.435169849929</c:v>
                </c:pt>
                <c:pt idx="8">
                  <c:v>0.86617757187800004</c:v>
                </c:pt>
                <c:pt idx="9">
                  <c:v>1.0159076308326904</c:v>
                </c:pt>
              </c:numCache>
            </c:numRef>
          </c:val>
        </c:ser>
        <c:dLbls>
          <c:showLegendKey val="0"/>
          <c:showVal val="0"/>
          <c:showCatName val="0"/>
          <c:showSerName val="0"/>
          <c:showPercent val="0"/>
          <c:showBubbleSize val="0"/>
        </c:dLbls>
        <c:gapWidth val="150"/>
        <c:shape val="cylinder"/>
        <c:axId val="452615168"/>
        <c:axId val="452633344"/>
        <c:axId val="0"/>
      </c:bar3DChart>
      <c:catAx>
        <c:axId val="452615168"/>
        <c:scaling>
          <c:orientation val="minMax"/>
        </c:scaling>
        <c:delete val="0"/>
        <c:axPos val="b"/>
        <c:majorTickMark val="out"/>
        <c:minorTickMark val="none"/>
        <c:tickLblPos val="nextTo"/>
        <c:txPr>
          <a:bodyPr/>
          <a:lstStyle/>
          <a:p>
            <a:pPr>
              <a:defRPr sz="1200" b="1"/>
            </a:pPr>
            <a:endParaRPr lang="zh-CN"/>
          </a:p>
        </c:txPr>
        <c:crossAx val="452633344"/>
        <c:crosses val="autoZero"/>
        <c:auto val="1"/>
        <c:lblAlgn val="ctr"/>
        <c:lblOffset val="100"/>
        <c:noMultiLvlLbl val="0"/>
      </c:catAx>
      <c:valAx>
        <c:axId val="452633344"/>
        <c:scaling>
          <c:orientation val="minMax"/>
        </c:scaling>
        <c:delete val="1"/>
        <c:axPos val="l"/>
        <c:majorGridlines/>
        <c:numFmt formatCode="0.00%" sourceLinked="1"/>
        <c:majorTickMark val="out"/>
        <c:minorTickMark val="none"/>
        <c:tickLblPos val="nextTo"/>
        <c:crossAx val="452615168"/>
        <c:crosses val="autoZero"/>
        <c:crossBetween val="between"/>
      </c:valAx>
    </c:plotArea>
    <c:plotVisOnly val="1"/>
    <c:dispBlanksAs val="gap"/>
    <c:showDLblsOverMax val="0"/>
  </c:chart>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ltLang="zh-CN"/>
              <a:t>2020</a:t>
            </a:r>
            <a:r>
              <a:rPr lang="zh-CN" altLang="en-US"/>
              <a:t>年</a:t>
            </a:r>
            <a:r>
              <a:rPr lang="en-US" altLang="zh-CN"/>
              <a:t>9</a:t>
            </a:r>
            <a:r>
              <a:rPr lang="zh-CN" altLang="en-US"/>
              <a:t>月末各主体商非综合成本率</a:t>
            </a:r>
          </a:p>
        </c:rich>
      </c:tx>
      <c:overlay val="0"/>
    </c:title>
    <c:autoTitleDeleted val="0"/>
    <c:plotArea>
      <c:layout/>
      <c:barChart>
        <c:barDir val="col"/>
        <c:grouping val="clustered"/>
        <c:varyColors val="0"/>
        <c:ser>
          <c:idx val="0"/>
          <c:order val="0"/>
          <c:tx>
            <c:strRef>
              <c:f>商非综合成本率!$B$57</c:f>
              <c:strCache>
                <c:ptCount val="1"/>
                <c:pt idx="0">
                  <c:v>上半年各主体商非综合成本率</c:v>
                </c:pt>
              </c:strCache>
            </c:strRef>
          </c:tx>
          <c:invertIfNegative val="0"/>
          <c:dLbls>
            <c:dLbl>
              <c:idx val="1"/>
              <c:layout>
                <c:manualLayout>
                  <c:x val="2.3839137255991412E-3"/>
                  <c:y val="-4.9320388349514493E-2"/>
                </c:manualLayout>
              </c:layout>
              <c:showLegendKey val="0"/>
              <c:showVal val="1"/>
              <c:showCatName val="0"/>
              <c:showSerName val="0"/>
              <c:showPercent val="0"/>
              <c:showBubbleSize val="0"/>
            </c:dLbl>
            <c:dLbl>
              <c:idx val="5"/>
              <c:layout>
                <c:manualLayout>
                  <c:x val="0"/>
                  <c:y val="-3.0351008215085885E-2"/>
                </c:manualLayout>
              </c:layout>
              <c:showLegendKey val="0"/>
              <c:showVal val="1"/>
              <c:showCatName val="0"/>
              <c:showSerName val="0"/>
              <c:showPercent val="0"/>
              <c:showBubbleSize val="0"/>
            </c:dLbl>
            <c:dLbl>
              <c:idx val="6"/>
              <c:layout>
                <c:manualLayout>
                  <c:x val="0"/>
                  <c:y val="-7.2083644510828979E-2"/>
                </c:manualLayout>
              </c:layout>
              <c:showLegendKey val="0"/>
              <c:showVal val="1"/>
              <c:showCatName val="0"/>
              <c:showSerName val="0"/>
              <c:showPercent val="0"/>
              <c:showBubbleSize val="0"/>
            </c:dLbl>
            <c:dLbl>
              <c:idx val="16"/>
              <c:layout>
                <c:manualLayout>
                  <c:x val="-4.7678274511982824E-3"/>
                  <c:y val="-5.6908140403286032E-2"/>
                </c:manualLayout>
              </c:layout>
              <c:showLegendKey val="0"/>
              <c:showVal val="1"/>
              <c:showCatName val="0"/>
              <c:showSerName val="0"/>
              <c:showPercent val="0"/>
              <c:showBubbleSize val="0"/>
            </c:dLbl>
            <c:dLbl>
              <c:idx val="17"/>
              <c:layout>
                <c:manualLayout>
                  <c:x val="0"/>
                  <c:y val="-4.5526512322628755E-2"/>
                </c:manualLayout>
              </c:layout>
              <c:showLegendKey val="0"/>
              <c:showVal val="1"/>
              <c:showCatName val="0"/>
              <c:showSerName val="0"/>
              <c:showPercent val="0"/>
              <c:showBubbleSize val="0"/>
            </c:dLbl>
            <c:txPr>
              <a:bodyPr/>
              <a:lstStyle/>
              <a:p>
                <a:pPr>
                  <a:defRPr b="1">
                    <a:solidFill>
                      <a:srgbClr val="C00000"/>
                    </a:solidFill>
                  </a:defRPr>
                </a:pPr>
                <a:endParaRPr lang="zh-CN"/>
              </a:p>
            </c:txPr>
            <c:showLegendKey val="0"/>
            <c:showVal val="1"/>
            <c:showCatName val="0"/>
            <c:showSerName val="0"/>
            <c:showPercent val="0"/>
            <c:showBubbleSize val="0"/>
            <c:showLeaderLines val="0"/>
          </c:dLbls>
          <c:cat>
            <c:strRef>
              <c:f>商非综合成本率!$A$58:$A$77</c:f>
              <c:strCache>
                <c:ptCount val="20"/>
                <c:pt idx="0">
                  <c:v>人保</c:v>
                </c:pt>
                <c:pt idx="1">
                  <c:v>太平洋</c:v>
                </c:pt>
                <c:pt idx="2">
                  <c:v>平安</c:v>
                </c:pt>
                <c:pt idx="3">
                  <c:v>中华联合</c:v>
                </c:pt>
                <c:pt idx="4">
                  <c:v>国寿财</c:v>
                </c:pt>
                <c:pt idx="5">
                  <c:v>天安</c:v>
                </c:pt>
                <c:pt idx="6">
                  <c:v>大地</c:v>
                </c:pt>
                <c:pt idx="7">
                  <c:v>华安</c:v>
                </c:pt>
                <c:pt idx="8">
                  <c:v>永安</c:v>
                </c:pt>
                <c:pt idx="9">
                  <c:v>大家</c:v>
                </c:pt>
                <c:pt idx="10">
                  <c:v>阳光</c:v>
                </c:pt>
                <c:pt idx="11">
                  <c:v>永城</c:v>
                </c:pt>
                <c:pt idx="12">
                  <c:v>太平</c:v>
                </c:pt>
                <c:pt idx="13">
                  <c:v>渤海</c:v>
                </c:pt>
                <c:pt idx="14">
                  <c:v>亚太</c:v>
                </c:pt>
                <c:pt idx="15">
                  <c:v>安华</c:v>
                </c:pt>
                <c:pt idx="16">
                  <c:v>英大</c:v>
                </c:pt>
                <c:pt idx="17">
                  <c:v>浙商</c:v>
                </c:pt>
                <c:pt idx="18">
                  <c:v>中航安盟</c:v>
                </c:pt>
                <c:pt idx="19">
                  <c:v>富邦</c:v>
                </c:pt>
              </c:strCache>
            </c:strRef>
          </c:cat>
          <c:val>
            <c:numRef>
              <c:f>商非综合成本率!$B$58:$B$77</c:f>
              <c:numCache>
                <c:formatCode>0.00%</c:formatCode>
                <c:ptCount val="20"/>
                <c:pt idx="0">
                  <c:v>0.9575673589588487</c:v>
                </c:pt>
                <c:pt idx="1">
                  <c:v>0.98848619028968476</c:v>
                </c:pt>
                <c:pt idx="2">
                  <c:v>0.78420798168982575</c:v>
                </c:pt>
                <c:pt idx="3">
                  <c:v>2.2052194517712493</c:v>
                </c:pt>
                <c:pt idx="4">
                  <c:v>0.90117713085208462</c:v>
                </c:pt>
                <c:pt idx="5">
                  <c:v>0.96357478307712108</c:v>
                </c:pt>
                <c:pt idx="6">
                  <c:v>1.1636010376973323</c:v>
                </c:pt>
                <c:pt idx="7">
                  <c:v>0.99319341648779513</c:v>
                </c:pt>
                <c:pt idx="8">
                  <c:v>0.74227979387292042</c:v>
                </c:pt>
                <c:pt idx="9">
                  <c:v>1.4674708996667893</c:v>
                </c:pt>
                <c:pt idx="10">
                  <c:v>0.85883418996425898</c:v>
                </c:pt>
                <c:pt idx="11">
                  <c:v>0.12950174526984171</c:v>
                </c:pt>
                <c:pt idx="12">
                  <c:v>0.90073990484465472</c:v>
                </c:pt>
                <c:pt idx="13">
                  <c:v>0.70607192028985633</c:v>
                </c:pt>
                <c:pt idx="14">
                  <c:v>4.6726736406098093</c:v>
                </c:pt>
                <c:pt idx="15">
                  <c:v>3.6212343968317351E-2</c:v>
                </c:pt>
                <c:pt idx="16">
                  <c:v>1.1750958951991755</c:v>
                </c:pt>
                <c:pt idx="17">
                  <c:v>0.56095610230041348</c:v>
                </c:pt>
                <c:pt idx="18">
                  <c:v>0.52360299806290445</c:v>
                </c:pt>
                <c:pt idx="19">
                  <c:v>0.97503516036631055</c:v>
                </c:pt>
              </c:numCache>
            </c:numRef>
          </c:val>
        </c:ser>
        <c:dLbls>
          <c:showLegendKey val="0"/>
          <c:showVal val="0"/>
          <c:showCatName val="0"/>
          <c:showSerName val="0"/>
          <c:showPercent val="0"/>
          <c:showBubbleSize val="0"/>
        </c:dLbls>
        <c:gapWidth val="150"/>
        <c:axId val="452662016"/>
        <c:axId val="452663552"/>
      </c:barChart>
      <c:catAx>
        <c:axId val="452662016"/>
        <c:scaling>
          <c:orientation val="minMax"/>
        </c:scaling>
        <c:delete val="0"/>
        <c:axPos val="b"/>
        <c:majorTickMark val="out"/>
        <c:minorTickMark val="none"/>
        <c:tickLblPos val="nextTo"/>
        <c:txPr>
          <a:bodyPr/>
          <a:lstStyle/>
          <a:p>
            <a:pPr>
              <a:defRPr b="1"/>
            </a:pPr>
            <a:endParaRPr lang="zh-CN"/>
          </a:p>
        </c:txPr>
        <c:crossAx val="452663552"/>
        <c:crosses val="autoZero"/>
        <c:auto val="1"/>
        <c:lblAlgn val="ctr"/>
        <c:lblOffset val="100"/>
        <c:noMultiLvlLbl val="0"/>
      </c:catAx>
      <c:valAx>
        <c:axId val="452663552"/>
        <c:scaling>
          <c:orientation val="minMax"/>
        </c:scaling>
        <c:delete val="1"/>
        <c:axPos val="l"/>
        <c:majorGridlines/>
        <c:numFmt formatCode="0.00%" sourceLinked="1"/>
        <c:majorTickMark val="out"/>
        <c:minorTickMark val="none"/>
        <c:tickLblPos val="nextTo"/>
        <c:crossAx val="452662016"/>
        <c:crosses val="autoZero"/>
        <c:crossBetween val="between"/>
      </c:valAx>
      <c:spPr>
        <a:noFill/>
        <a:ln w="25400">
          <a:noFill/>
        </a:ln>
      </c:spPr>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0" i="0" u="none" strike="noStrike" baseline="0">
                <a:solidFill>
                  <a:srgbClr val="000000"/>
                </a:solidFill>
                <a:latin typeface="宋体"/>
                <a:ea typeface="宋体"/>
                <a:cs typeface="宋体"/>
              </a:defRPr>
            </a:pPr>
            <a:r>
              <a:rPr lang="en-US" altLang="zh-CN" sz="1800" b="1" i="0" u="none" strike="noStrike" baseline="0">
                <a:solidFill>
                  <a:srgbClr val="000000"/>
                </a:solidFill>
                <a:latin typeface="Calibri"/>
              </a:rPr>
              <a:t>2020</a:t>
            </a:r>
            <a:r>
              <a:rPr lang="zh-CN" altLang="en-US" sz="1800" b="1" i="0" u="none" strike="noStrike" baseline="0">
                <a:solidFill>
                  <a:srgbClr val="000000"/>
                </a:solidFill>
                <a:latin typeface="宋体"/>
                <a:ea typeface="宋体"/>
              </a:rPr>
              <a:t>年</a:t>
            </a:r>
            <a:r>
              <a:rPr lang="en-US" altLang="zh-CN" sz="1800" b="1" i="0" u="none" strike="noStrike" baseline="0">
                <a:solidFill>
                  <a:srgbClr val="000000"/>
                </a:solidFill>
                <a:latin typeface="宋体"/>
                <a:ea typeface="宋体"/>
              </a:rPr>
              <a:t>9</a:t>
            </a:r>
            <a:r>
              <a:rPr lang="zh-CN" altLang="en-US" sz="1800" b="1" i="0" u="none" strike="noStrike" baseline="0">
                <a:solidFill>
                  <a:srgbClr val="000000"/>
                </a:solidFill>
                <a:latin typeface="宋体"/>
                <a:ea typeface="宋体"/>
              </a:rPr>
              <a:t>月末各主体车险份额情况</a:t>
            </a:r>
            <a:r>
              <a:rPr lang="en-US" altLang="zh-CN" sz="1800" b="1" i="0" u="none" strike="noStrike" baseline="0">
                <a:solidFill>
                  <a:srgbClr val="000000"/>
                </a:solidFill>
                <a:latin typeface="宋体"/>
                <a:ea typeface="宋体"/>
              </a:rPr>
              <a:t>%</a:t>
            </a:r>
            <a:endParaRPr lang="zh-CN" altLang="en-US" sz="1800" b="1" i="0" u="none" strike="noStrike" baseline="0">
              <a:solidFill>
                <a:srgbClr val="000000"/>
              </a:solidFill>
              <a:latin typeface="宋体"/>
              <a:ea typeface="宋体"/>
            </a:endParaRPr>
          </a:p>
        </c:rich>
      </c:tx>
      <c:layout>
        <c:manualLayout>
          <c:xMode val="edge"/>
          <c:yMode val="edge"/>
          <c:x val="0.17787322962618993"/>
          <c:y val="0"/>
        </c:manualLayout>
      </c:layout>
      <c:overlay val="0"/>
      <c:spPr>
        <a:noFill/>
        <a:ln w="25400">
          <a:noFill/>
        </a:ln>
      </c:spPr>
    </c:title>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0.11618263428373379"/>
          <c:y val="0.18418131548906777"/>
          <c:w val="0.86825770119704948"/>
          <c:h val="0.55621301775147924"/>
        </c:manualLayout>
      </c:layout>
      <c:bar3DChart>
        <c:barDir val="col"/>
        <c:grouping val="clustered"/>
        <c:varyColors val="0"/>
        <c:ser>
          <c:idx val="0"/>
          <c:order val="0"/>
          <c:tx>
            <c:strRef>
              <c:f>车险份额同比!$B$62</c:f>
              <c:strCache>
                <c:ptCount val="1"/>
                <c:pt idx="0">
                  <c:v>201909</c:v>
                </c:pt>
              </c:strCache>
            </c:strRef>
          </c:tx>
          <c:invertIfNegative val="0"/>
          <c:cat>
            <c:strRef>
              <c:f>车险份额同比!$A$63:$A$82</c:f>
              <c:strCache>
                <c:ptCount val="20"/>
                <c:pt idx="0">
                  <c:v>人保</c:v>
                </c:pt>
                <c:pt idx="1">
                  <c:v>太平洋</c:v>
                </c:pt>
                <c:pt idx="2">
                  <c:v>平安</c:v>
                </c:pt>
                <c:pt idx="3">
                  <c:v>中华联合</c:v>
                </c:pt>
                <c:pt idx="4">
                  <c:v>天安</c:v>
                </c:pt>
                <c:pt idx="5">
                  <c:v>大地</c:v>
                </c:pt>
                <c:pt idx="6">
                  <c:v>永安</c:v>
                </c:pt>
                <c:pt idx="7">
                  <c:v>大家</c:v>
                </c:pt>
                <c:pt idx="8">
                  <c:v>太平</c:v>
                </c:pt>
                <c:pt idx="9">
                  <c:v>永诚</c:v>
                </c:pt>
                <c:pt idx="10">
                  <c:v>国寿财</c:v>
                </c:pt>
                <c:pt idx="11">
                  <c:v>华安</c:v>
                </c:pt>
                <c:pt idx="12">
                  <c:v>阳光</c:v>
                </c:pt>
                <c:pt idx="13">
                  <c:v>安华农业</c:v>
                </c:pt>
                <c:pt idx="14">
                  <c:v>中航安盟</c:v>
                </c:pt>
                <c:pt idx="15">
                  <c:v>浙商</c:v>
                </c:pt>
                <c:pt idx="16">
                  <c:v>英大</c:v>
                </c:pt>
                <c:pt idx="17">
                  <c:v>富邦</c:v>
                </c:pt>
                <c:pt idx="18">
                  <c:v>亚太</c:v>
                </c:pt>
                <c:pt idx="19">
                  <c:v>渤海</c:v>
                </c:pt>
              </c:strCache>
            </c:strRef>
          </c:cat>
          <c:val>
            <c:numRef>
              <c:f>车险份额同比!$B$63:$B$82</c:f>
              <c:numCache>
                <c:formatCode>0.00%</c:formatCode>
                <c:ptCount val="20"/>
                <c:pt idx="0">
                  <c:v>0.36471507481976945</c:v>
                </c:pt>
                <c:pt idx="1">
                  <c:v>0.10715053829677174</c:v>
                </c:pt>
                <c:pt idx="2">
                  <c:v>0.2180493708760273</c:v>
                </c:pt>
                <c:pt idx="3">
                  <c:v>5.7715565028202125E-2</c:v>
                </c:pt>
                <c:pt idx="4">
                  <c:v>9.4872008317942822E-3</c:v>
                </c:pt>
                <c:pt idx="5">
                  <c:v>2.4499008272245291E-2</c:v>
                </c:pt>
                <c:pt idx="6">
                  <c:v>1.9060228676233408E-2</c:v>
                </c:pt>
                <c:pt idx="7">
                  <c:v>6.8128341065646812E-4</c:v>
                </c:pt>
                <c:pt idx="8">
                  <c:v>2.8622878574513209E-2</c:v>
                </c:pt>
                <c:pt idx="9">
                  <c:v>3.0123651406777554E-3</c:v>
                </c:pt>
                <c:pt idx="10">
                  <c:v>6.017031832106097E-2</c:v>
                </c:pt>
                <c:pt idx="11">
                  <c:v>1.1620944797045746E-2</c:v>
                </c:pt>
                <c:pt idx="12">
                  <c:v>2.9905816898230561E-2</c:v>
                </c:pt>
                <c:pt idx="13">
                  <c:v>8.1675475168037689E-3</c:v>
                </c:pt>
                <c:pt idx="14">
                  <c:v>8.9192311481579617E-4</c:v>
                </c:pt>
                <c:pt idx="15">
                  <c:v>1.1249268711081188E-2</c:v>
                </c:pt>
                <c:pt idx="16">
                  <c:v>1.1843004202343353E-2</c:v>
                </c:pt>
                <c:pt idx="17">
                  <c:v>1.346789879423506E-2</c:v>
                </c:pt>
                <c:pt idx="18">
                  <c:v>8.6715682203647709E-3</c:v>
                </c:pt>
                <c:pt idx="19">
                  <c:v>1.1018195497127776E-2</c:v>
                </c:pt>
              </c:numCache>
            </c:numRef>
          </c:val>
        </c:ser>
        <c:ser>
          <c:idx val="1"/>
          <c:order val="1"/>
          <c:tx>
            <c:strRef>
              <c:f>车险份额同比!$C$62</c:f>
              <c:strCache>
                <c:ptCount val="1"/>
                <c:pt idx="0">
                  <c:v>202009</c:v>
                </c:pt>
              </c:strCache>
            </c:strRef>
          </c:tx>
          <c:invertIfNegative val="0"/>
          <c:cat>
            <c:strRef>
              <c:f>车险份额同比!$A$63:$A$82</c:f>
              <c:strCache>
                <c:ptCount val="20"/>
                <c:pt idx="0">
                  <c:v>人保</c:v>
                </c:pt>
                <c:pt idx="1">
                  <c:v>太平洋</c:v>
                </c:pt>
                <c:pt idx="2">
                  <c:v>平安</c:v>
                </c:pt>
                <c:pt idx="3">
                  <c:v>中华联合</c:v>
                </c:pt>
                <c:pt idx="4">
                  <c:v>天安</c:v>
                </c:pt>
                <c:pt idx="5">
                  <c:v>大地</c:v>
                </c:pt>
                <c:pt idx="6">
                  <c:v>永安</c:v>
                </c:pt>
                <c:pt idx="7">
                  <c:v>大家</c:v>
                </c:pt>
                <c:pt idx="8">
                  <c:v>太平</c:v>
                </c:pt>
                <c:pt idx="9">
                  <c:v>永诚</c:v>
                </c:pt>
                <c:pt idx="10">
                  <c:v>国寿财</c:v>
                </c:pt>
                <c:pt idx="11">
                  <c:v>华安</c:v>
                </c:pt>
                <c:pt idx="12">
                  <c:v>阳光</c:v>
                </c:pt>
                <c:pt idx="13">
                  <c:v>安华农业</c:v>
                </c:pt>
                <c:pt idx="14">
                  <c:v>中航安盟</c:v>
                </c:pt>
                <c:pt idx="15">
                  <c:v>浙商</c:v>
                </c:pt>
                <c:pt idx="16">
                  <c:v>英大</c:v>
                </c:pt>
                <c:pt idx="17">
                  <c:v>富邦</c:v>
                </c:pt>
                <c:pt idx="18">
                  <c:v>亚太</c:v>
                </c:pt>
                <c:pt idx="19">
                  <c:v>渤海</c:v>
                </c:pt>
              </c:strCache>
            </c:strRef>
          </c:cat>
          <c:val>
            <c:numRef>
              <c:f>车险份额同比!$C$63:$C$82</c:f>
              <c:numCache>
                <c:formatCode>0.00%</c:formatCode>
                <c:ptCount val="20"/>
                <c:pt idx="0">
                  <c:v>0.3720642085056462</c:v>
                </c:pt>
                <c:pt idx="1">
                  <c:v>0.10795182414461085</c:v>
                </c:pt>
                <c:pt idx="2">
                  <c:v>0.22142665537816794</c:v>
                </c:pt>
                <c:pt idx="3">
                  <c:v>5.8596127536163535E-2</c:v>
                </c:pt>
                <c:pt idx="4">
                  <c:v>8.2537338284566081E-3</c:v>
                </c:pt>
                <c:pt idx="5">
                  <c:v>1.6757869271351769E-2</c:v>
                </c:pt>
                <c:pt idx="6">
                  <c:v>1.5458223756922318E-2</c:v>
                </c:pt>
                <c:pt idx="7">
                  <c:v>3.3879982091256896E-3</c:v>
                </c:pt>
                <c:pt idx="8">
                  <c:v>3.274077268599989E-2</c:v>
                </c:pt>
                <c:pt idx="9">
                  <c:v>3.2400302140952052E-3</c:v>
                </c:pt>
                <c:pt idx="10">
                  <c:v>6.3045067415529996E-2</c:v>
                </c:pt>
                <c:pt idx="11">
                  <c:v>1.6729458335220496E-2</c:v>
                </c:pt>
                <c:pt idx="12">
                  <c:v>2.9325784538942148E-2</c:v>
                </c:pt>
                <c:pt idx="13">
                  <c:v>4.8630506088359546E-3</c:v>
                </c:pt>
                <c:pt idx="14">
                  <c:v>4.3982572293982619E-4</c:v>
                </c:pt>
                <c:pt idx="15">
                  <c:v>5.4777819314018143E-3</c:v>
                </c:pt>
                <c:pt idx="16">
                  <c:v>1.7138042043690564E-2</c:v>
                </c:pt>
                <c:pt idx="17">
                  <c:v>9.6091623067299237E-3</c:v>
                </c:pt>
                <c:pt idx="18">
                  <c:v>5.0107406447301188E-3</c:v>
                </c:pt>
                <c:pt idx="19">
                  <c:v>8.4836429214390705E-3</c:v>
                </c:pt>
              </c:numCache>
            </c:numRef>
          </c:val>
        </c:ser>
        <c:dLbls>
          <c:showLegendKey val="0"/>
          <c:showVal val="0"/>
          <c:showCatName val="0"/>
          <c:showSerName val="0"/>
          <c:showPercent val="0"/>
          <c:showBubbleSize val="0"/>
        </c:dLbls>
        <c:gapWidth val="150"/>
        <c:shape val="cylinder"/>
        <c:axId val="348425600"/>
        <c:axId val="348435584"/>
        <c:axId val="0"/>
      </c:bar3DChart>
      <c:catAx>
        <c:axId val="348425600"/>
        <c:scaling>
          <c:orientation val="minMax"/>
        </c:scaling>
        <c:delete val="0"/>
        <c:axPos val="b"/>
        <c:numFmt formatCode="General" sourceLinked="1"/>
        <c:majorTickMark val="none"/>
        <c:minorTickMark val="none"/>
        <c:tickLblPos val="nextTo"/>
        <c:crossAx val="348435584"/>
        <c:crosses val="autoZero"/>
        <c:auto val="1"/>
        <c:lblAlgn val="ctr"/>
        <c:lblOffset val="100"/>
        <c:noMultiLvlLbl val="0"/>
      </c:catAx>
      <c:valAx>
        <c:axId val="348435584"/>
        <c:scaling>
          <c:orientation val="minMax"/>
        </c:scaling>
        <c:delete val="0"/>
        <c:axPos val="l"/>
        <c:majorGridlines/>
        <c:numFmt formatCode="0.00%" sourceLinked="1"/>
        <c:majorTickMark val="none"/>
        <c:minorTickMark val="none"/>
        <c:tickLblPos val="nextTo"/>
        <c:crossAx val="348425600"/>
        <c:crosses val="autoZero"/>
        <c:crossBetween val="between"/>
      </c:valAx>
      <c:dTable>
        <c:showHorzBorder val="1"/>
        <c:showVertBorder val="1"/>
        <c:showOutline val="1"/>
        <c:showKeys val="1"/>
        <c:txPr>
          <a:bodyPr/>
          <a:lstStyle/>
          <a:p>
            <a:pPr rtl="0">
              <a:defRPr sz="800"/>
            </a:pPr>
            <a:endParaRPr lang="zh-CN"/>
          </a:p>
        </c:txPr>
      </c:dTable>
      <c:spPr>
        <a:noFill/>
        <a:ln w="25400">
          <a:noFill/>
        </a:ln>
      </c:spPr>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0" i="0" u="none" strike="noStrike" baseline="0">
                <a:solidFill>
                  <a:srgbClr val="000000"/>
                </a:solidFill>
                <a:latin typeface="宋体"/>
                <a:ea typeface="宋体"/>
                <a:cs typeface="宋体"/>
              </a:defRPr>
            </a:pPr>
            <a:r>
              <a:rPr lang="en-US" altLang="zh-CN" sz="1800" b="1" i="0" u="none" strike="noStrike" baseline="0">
                <a:solidFill>
                  <a:srgbClr val="000000"/>
                </a:solidFill>
                <a:latin typeface="宋体"/>
                <a:ea typeface="宋体"/>
              </a:rPr>
              <a:t>2020</a:t>
            </a:r>
            <a:r>
              <a:rPr lang="zh-CN" altLang="en-US" sz="1800" b="1" i="0" u="none" strike="noStrike" baseline="0">
                <a:solidFill>
                  <a:srgbClr val="000000"/>
                </a:solidFill>
                <a:latin typeface="宋体"/>
                <a:ea typeface="宋体"/>
              </a:rPr>
              <a:t>年</a:t>
            </a:r>
            <a:r>
              <a:rPr lang="en-US" altLang="zh-CN" sz="1800" b="1" i="0" u="none" strike="noStrike" baseline="0">
                <a:solidFill>
                  <a:srgbClr val="000000"/>
                </a:solidFill>
                <a:latin typeface="宋体"/>
                <a:ea typeface="宋体"/>
              </a:rPr>
              <a:t>9</a:t>
            </a:r>
            <a:r>
              <a:rPr lang="zh-CN" altLang="en-US" sz="1800" b="1" i="0" u="none" strike="noStrike" baseline="0">
                <a:solidFill>
                  <a:srgbClr val="000000"/>
                </a:solidFill>
                <a:latin typeface="宋体"/>
                <a:ea typeface="宋体"/>
              </a:rPr>
              <a:t>月末各机构车险业务增速</a:t>
            </a:r>
            <a:r>
              <a:rPr lang="en-US" altLang="zh-CN" sz="1800" b="1" i="0" u="none" strike="noStrike" baseline="0">
                <a:solidFill>
                  <a:srgbClr val="000000"/>
                </a:solidFill>
                <a:latin typeface="Calibri"/>
              </a:rPr>
              <a:t>%</a:t>
            </a:r>
            <a:endParaRPr lang="zh-CN" altLang="en-US" sz="1800" b="1" i="0" u="none" strike="noStrike" baseline="0">
              <a:solidFill>
                <a:srgbClr val="000000"/>
              </a:solidFill>
              <a:latin typeface="宋体"/>
              <a:ea typeface="宋体"/>
            </a:endParaRPr>
          </a:p>
        </c:rich>
      </c:tx>
      <c:layout>
        <c:manualLayout>
          <c:xMode val="edge"/>
          <c:yMode val="edge"/>
          <c:x val="0.1434567901234568"/>
          <c:y val="2.6578100814321288E-2"/>
        </c:manualLayout>
      </c:layout>
      <c:overlay val="0"/>
      <c:spPr>
        <a:noFill/>
        <a:ln w="25400">
          <a:noFill/>
        </a:ln>
      </c:spPr>
    </c:title>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8.639581510644502E-2"/>
          <c:y val="0.3299231442223568"/>
          <c:w val="0.89971529600466604"/>
          <c:h val="0.49726253449088093"/>
        </c:manualLayout>
      </c:layout>
      <c:bar3DChart>
        <c:barDir val="col"/>
        <c:grouping val="clustered"/>
        <c:varyColors val="0"/>
        <c:ser>
          <c:idx val="0"/>
          <c:order val="0"/>
          <c:tx>
            <c:strRef>
              <c:f>车险增速!$B$1</c:f>
              <c:strCache>
                <c:ptCount val="1"/>
                <c:pt idx="0">
                  <c:v>增速</c:v>
                </c:pt>
              </c:strCache>
            </c:strRef>
          </c:tx>
          <c:spPr>
            <a:solidFill>
              <a:schemeClr val="accent2"/>
            </a:solidFill>
          </c:spPr>
          <c:invertIfNegative val="0"/>
          <c:cat>
            <c:strRef>
              <c:f>车险增速!$A$2:$A$21</c:f>
              <c:strCache>
                <c:ptCount val="20"/>
                <c:pt idx="0">
                  <c:v>人保</c:v>
                </c:pt>
                <c:pt idx="1">
                  <c:v>太平洋</c:v>
                </c:pt>
                <c:pt idx="2">
                  <c:v>平安</c:v>
                </c:pt>
                <c:pt idx="3">
                  <c:v>中华联</c:v>
                </c:pt>
                <c:pt idx="4">
                  <c:v>天安</c:v>
                </c:pt>
                <c:pt idx="5">
                  <c:v>大地</c:v>
                </c:pt>
                <c:pt idx="6">
                  <c:v>永安</c:v>
                </c:pt>
                <c:pt idx="7">
                  <c:v>大家</c:v>
                </c:pt>
                <c:pt idx="8">
                  <c:v>太平</c:v>
                </c:pt>
                <c:pt idx="9">
                  <c:v>永诚</c:v>
                </c:pt>
                <c:pt idx="10">
                  <c:v>国寿财</c:v>
                </c:pt>
                <c:pt idx="11">
                  <c:v>华安</c:v>
                </c:pt>
                <c:pt idx="12">
                  <c:v>阳光</c:v>
                </c:pt>
                <c:pt idx="13">
                  <c:v>安华</c:v>
                </c:pt>
                <c:pt idx="14">
                  <c:v>中航安盟</c:v>
                </c:pt>
                <c:pt idx="15">
                  <c:v>浙商</c:v>
                </c:pt>
                <c:pt idx="16">
                  <c:v>英大</c:v>
                </c:pt>
                <c:pt idx="17">
                  <c:v>富邦</c:v>
                </c:pt>
                <c:pt idx="18">
                  <c:v>亚太</c:v>
                </c:pt>
                <c:pt idx="19">
                  <c:v>渤海</c:v>
                </c:pt>
              </c:strCache>
            </c:strRef>
          </c:cat>
          <c:val>
            <c:numRef>
              <c:f>车险增速!$B$2:$B$21</c:f>
              <c:numCache>
                <c:formatCode>0.00%</c:formatCode>
                <c:ptCount val="20"/>
                <c:pt idx="0">
                  <c:v>1.4214858618527084E-2</c:v>
                </c:pt>
                <c:pt idx="1">
                  <c:v>1.6163778999914093E-3</c:v>
                </c:pt>
                <c:pt idx="2">
                  <c:v>9.5802621107896248E-3</c:v>
                </c:pt>
                <c:pt idx="3">
                  <c:v>9.3499201214996032E-3</c:v>
                </c:pt>
                <c:pt idx="4">
                  <c:v>-0.13507558929964442</c:v>
                </c:pt>
                <c:pt idx="5">
                  <c:v>-0.31995745669355957</c:v>
                </c:pt>
                <c:pt idx="6">
                  <c:v>-0.19369886397080469</c:v>
                </c:pt>
                <c:pt idx="7" formatCode="0.0%">
                  <c:v>3.9440305681350352</c:v>
                </c:pt>
                <c:pt idx="8">
                  <c:v>0.13721192601665844</c:v>
                </c:pt>
                <c:pt idx="9">
                  <c:v>6.9318882782475943E-2</c:v>
                </c:pt>
                <c:pt idx="10">
                  <c:v>4.1680641887277624E-2</c:v>
                </c:pt>
                <c:pt idx="11">
                  <c:v>0.43121945332770173</c:v>
                </c:pt>
                <c:pt idx="12">
                  <c:v>-2.5100699995932552E-2</c:v>
                </c:pt>
                <c:pt idx="13">
                  <c:v>-0.40805288461538458</c:v>
                </c:pt>
                <c:pt idx="14">
                  <c:v>-0.50974842767295603</c:v>
                </c:pt>
                <c:pt idx="15">
                  <c:v>-0.51588756587127682</c:v>
                </c:pt>
                <c:pt idx="16">
                  <c:v>0.43868299268559541</c:v>
                </c:pt>
                <c:pt idx="17">
                  <c:v>-0.29066486176914663</c:v>
                </c:pt>
                <c:pt idx="18">
                  <c:v>-0.42552640941876629</c:v>
                </c:pt>
                <c:pt idx="19">
                  <c:v>-0.23451321801774283</c:v>
                </c:pt>
              </c:numCache>
            </c:numRef>
          </c:val>
        </c:ser>
        <c:dLbls>
          <c:showLegendKey val="0"/>
          <c:showVal val="0"/>
          <c:showCatName val="0"/>
          <c:showSerName val="0"/>
          <c:showPercent val="0"/>
          <c:showBubbleSize val="0"/>
        </c:dLbls>
        <c:gapWidth val="150"/>
        <c:shape val="box"/>
        <c:axId val="365632128"/>
        <c:axId val="365638016"/>
        <c:axId val="0"/>
      </c:bar3DChart>
      <c:catAx>
        <c:axId val="365632128"/>
        <c:scaling>
          <c:orientation val="minMax"/>
        </c:scaling>
        <c:delete val="0"/>
        <c:axPos val="b"/>
        <c:numFmt formatCode="General" sourceLinked="1"/>
        <c:majorTickMark val="none"/>
        <c:minorTickMark val="none"/>
        <c:tickLblPos val="nextTo"/>
        <c:crossAx val="365638016"/>
        <c:crosses val="autoZero"/>
        <c:auto val="1"/>
        <c:lblAlgn val="ctr"/>
        <c:lblOffset val="100"/>
        <c:noMultiLvlLbl val="0"/>
      </c:catAx>
      <c:valAx>
        <c:axId val="365638016"/>
        <c:scaling>
          <c:orientation val="minMax"/>
        </c:scaling>
        <c:delete val="0"/>
        <c:axPos val="l"/>
        <c:majorGridlines/>
        <c:numFmt formatCode="0.00%" sourceLinked="1"/>
        <c:majorTickMark val="none"/>
        <c:minorTickMark val="none"/>
        <c:tickLblPos val="nextTo"/>
        <c:crossAx val="365632128"/>
        <c:crosses val="autoZero"/>
        <c:crossBetween val="between"/>
      </c:valAx>
      <c:dTable>
        <c:showHorzBorder val="1"/>
        <c:showVertBorder val="1"/>
        <c:showOutline val="1"/>
        <c:showKeys val="1"/>
        <c:txPr>
          <a:bodyPr/>
          <a:lstStyle/>
          <a:p>
            <a:pPr rtl="0">
              <a:defRPr sz="800"/>
            </a:pPr>
            <a:endParaRPr lang="zh-CN"/>
          </a:p>
        </c:txPr>
      </c:dTable>
      <c:spPr>
        <a:noFill/>
        <a:ln w="25400">
          <a:noFill/>
        </a:ln>
      </c:spPr>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en-US" altLang="zh-CN" sz="1000"/>
              <a:t>2020</a:t>
            </a:r>
            <a:r>
              <a:rPr lang="zh-CN" altLang="en-US" sz="1000"/>
              <a:t>年</a:t>
            </a:r>
            <a:r>
              <a:rPr lang="en-US" altLang="zh-CN" sz="1000"/>
              <a:t>1-9</a:t>
            </a:r>
            <a:r>
              <a:rPr lang="zh-CN" altLang="en-US" sz="1000"/>
              <a:t>月车辆使用性质保费情况</a:t>
            </a:r>
          </a:p>
        </c:rich>
      </c:tx>
      <c:layout>
        <c:manualLayout>
          <c:xMode val="edge"/>
          <c:yMode val="edge"/>
          <c:x val="0.1705934242004902"/>
          <c:y val="1.8640539577571613E-2"/>
        </c:manualLayout>
      </c:layout>
      <c:overlay val="0"/>
      <c:spPr>
        <a:noFill/>
        <a:ln w="25400">
          <a:noFill/>
        </a:ln>
      </c:spPr>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使用性质!$C$36</c:f>
              <c:strCache>
                <c:ptCount val="1"/>
                <c:pt idx="0">
                  <c:v>季度车辆使用性质情况</c:v>
                </c:pt>
              </c:strCache>
            </c:strRef>
          </c:tx>
          <c:dPt>
            <c:idx val="0"/>
            <c:bubble3D val="0"/>
          </c:dPt>
          <c:dPt>
            <c:idx val="1"/>
            <c:bubble3D val="0"/>
          </c:dPt>
          <c:dPt>
            <c:idx val="2"/>
            <c:bubble3D val="0"/>
          </c:dPt>
          <c:dPt>
            <c:idx val="3"/>
            <c:bubble3D val="0"/>
          </c:dPt>
          <c:dPt>
            <c:idx val="4"/>
            <c:bubble3D val="0"/>
          </c:dPt>
          <c:dPt>
            <c:idx val="5"/>
            <c:bubble3D val="0"/>
          </c:dPt>
          <c:dLbls>
            <c:dLbl>
              <c:idx val="0"/>
              <c:layout>
                <c:manualLayout>
                  <c:x val="-3.8936700994560154E-7"/>
                  <c:y val="4.6029398987448436E-3"/>
                </c:manualLayout>
              </c:layout>
              <c:tx>
                <c:rich>
                  <a:bodyPr/>
                  <a:lstStyle/>
                  <a:p>
                    <a:r>
                      <a:rPr lang="zh-CN" altLang="en-US" sz="900" b="1">
                        <a:solidFill>
                          <a:srgbClr val="C00000"/>
                        </a:solidFill>
                        <a:latin typeface="微软雅黑" pitchFamily="34" charset="-122"/>
                        <a:ea typeface="微软雅黑" pitchFamily="34" charset="-122"/>
                      </a:rPr>
                      <a:t>家自车：</a:t>
                    </a:r>
                    <a:r>
                      <a:rPr lang="en-US" altLang="en-US" sz="900" b="1">
                        <a:solidFill>
                          <a:srgbClr val="C00000"/>
                        </a:solidFill>
                        <a:latin typeface="微软雅黑" pitchFamily="34" charset="-122"/>
                        <a:ea typeface="微软雅黑" pitchFamily="34" charset="-122"/>
                      </a:rPr>
                      <a:t>48477</a:t>
                    </a:r>
                    <a:r>
                      <a:rPr lang="zh-CN" altLang="en-US" sz="900" b="1">
                        <a:solidFill>
                          <a:srgbClr val="C00000"/>
                        </a:solidFill>
                        <a:latin typeface="微软雅黑" pitchFamily="34" charset="-122"/>
                        <a:ea typeface="微软雅黑" pitchFamily="34" charset="-122"/>
                      </a:rPr>
                      <a:t>万</a:t>
                    </a:r>
                    <a:endParaRPr lang="en-US" altLang="en-US"/>
                  </a:p>
                </c:rich>
              </c:tx>
              <c:dLblPos val="bestFit"/>
              <c:showLegendKey val="0"/>
              <c:showVal val="0"/>
              <c:showCatName val="0"/>
              <c:showSerName val="0"/>
              <c:showPercent val="0"/>
              <c:showBubbleSize val="0"/>
            </c:dLbl>
            <c:dLbl>
              <c:idx val="1"/>
              <c:tx>
                <c:rich>
                  <a:bodyPr/>
                  <a:lstStyle/>
                  <a:p>
                    <a:r>
                      <a:rPr lang="zh-CN" altLang="en-US" sz="900" b="1">
                        <a:solidFill>
                          <a:srgbClr val="C00000"/>
                        </a:solidFill>
                        <a:latin typeface="微软雅黑" pitchFamily="34" charset="-122"/>
                        <a:ea typeface="微软雅黑" pitchFamily="34" charset="-122"/>
                      </a:rPr>
                      <a:t>非营业客：</a:t>
                    </a:r>
                    <a:r>
                      <a:rPr lang="en-US" altLang="en-US" sz="900" b="1">
                        <a:solidFill>
                          <a:srgbClr val="C00000"/>
                        </a:solidFill>
                        <a:latin typeface="微软雅黑" pitchFamily="34" charset="-122"/>
                        <a:ea typeface="微软雅黑" pitchFamily="34" charset="-122"/>
                      </a:rPr>
                      <a:t>4685</a:t>
                    </a:r>
                    <a:r>
                      <a:rPr lang="zh-CN" altLang="en-US" sz="900" b="1">
                        <a:solidFill>
                          <a:srgbClr val="C00000"/>
                        </a:solidFill>
                        <a:latin typeface="微软雅黑" pitchFamily="34" charset="-122"/>
                        <a:ea typeface="微软雅黑" pitchFamily="34" charset="-122"/>
                      </a:rPr>
                      <a:t>万</a:t>
                    </a:r>
                    <a:endParaRPr lang="en-US" altLang="en-US"/>
                  </a:p>
                </c:rich>
              </c:tx>
              <c:dLblPos val="bestFit"/>
              <c:showLegendKey val="0"/>
              <c:showVal val="0"/>
              <c:showCatName val="0"/>
              <c:showSerName val="0"/>
              <c:showPercent val="0"/>
              <c:showBubbleSize val="0"/>
            </c:dLbl>
            <c:dLbl>
              <c:idx val="2"/>
              <c:tx>
                <c:rich>
                  <a:bodyPr/>
                  <a:lstStyle/>
                  <a:p>
                    <a:r>
                      <a:rPr lang="zh-CN" altLang="en-US" sz="900" b="1" dirty="0">
                        <a:solidFill>
                          <a:srgbClr val="C00000"/>
                        </a:solidFill>
                        <a:latin typeface="微软雅黑" pitchFamily="34" charset="-122"/>
                        <a:ea typeface="微软雅黑" pitchFamily="34" charset="-122"/>
                      </a:rPr>
                      <a:t>营业客：</a:t>
                    </a:r>
                    <a:r>
                      <a:rPr lang="en-US" altLang="en-US" sz="900" b="1" dirty="0">
                        <a:solidFill>
                          <a:srgbClr val="C00000"/>
                        </a:solidFill>
                        <a:latin typeface="微软雅黑" pitchFamily="34" charset="-122"/>
                        <a:ea typeface="微软雅黑" pitchFamily="34" charset="-122"/>
                      </a:rPr>
                      <a:t>2574</a:t>
                    </a:r>
                    <a:r>
                      <a:rPr lang="zh-CN" altLang="en-US" sz="900" b="1" dirty="0">
                        <a:solidFill>
                          <a:srgbClr val="C00000"/>
                        </a:solidFill>
                        <a:latin typeface="微软雅黑" pitchFamily="34" charset="-122"/>
                        <a:ea typeface="微软雅黑" pitchFamily="34" charset="-122"/>
                      </a:rPr>
                      <a:t>万</a:t>
                    </a:r>
                    <a:endParaRPr lang="en-US" altLang="en-US" dirty="0"/>
                  </a:p>
                </c:rich>
              </c:tx>
              <c:dLblPos val="bestFit"/>
              <c:showLegendKey val="0"/>
              <c:showVal val="0"/>
              <c:showCatName val="0"/>
              <c:showSerName val="0"/>
              <c:showPercent val="0"/>
              <c:showBubbleSize val="0"/>
            </c:dLbl>
            <c:dLbl>
              <c:idx val="3"/>
              <c:tx>
                <c:rich>
                  <a:bodyPr/>
                  <a:lstStyle/>
                  <a:p>
                    <a:r>
                      <a:rPr lang="zh-CN" altLang="en-US" sz="900" b="1">
                        <a:solidFill>
                          <a:srgbClr val="C00000"/>
                        </a:solidFill>
                        <a:latin typeface="微软雅黑" pitchFamily="34" charset="-122"/>
                        <a:ea typeface="微软雅黑" pitchFamily="34" charset="-122"/>
                      </a:rPr>
                      <a:t>非营业货：</a:t>
                    </a:r>
                    <a:r>
                      <a:rPr lang="en-US" altLang="en-US" sz="900" b="1">
                        <a:solidFill>
                          <a:srgbClr val="C00000"/>
                        </a:solidFill>
                        <a:latin typeface="微软雅黑" pitchFamily="34" charset="-122"/>
                        <a:ea typeface="微软雅黑" pitchFamily="34" charset="-122"/>
                      </a:rPr>
                      <a:t>6476</a:t>
                    </a:r>
                    <a:r>
                      <a:rPr lang="zh-CN" altLang="en-US" sz="900" b="1">
                        <a:solidFill>
                          <a:srgbClr val="C00000"/>
                        </a:solidFill>
                        <a:latin typeface="微软雅黑" pitchFamily="34" charset="-122"/>
                        <a:ea typeface="微软雅黑" pitchFamily="34" charset="-122"/>
                      </a:rPr>
                      <a:t>万</a:t>
                    </a:r>
                    <a:endParaRPr lang="en-US" altLang="en-US"/>
                  </a:p>
                </c:rich>
              </c:tx>
              <c:dLblPos val="bestFit"/>
              <c:showLegendKey val="0"/>
              <c:showVal val="0"/>
              <c:showCatName val="0"/>
              <c:showSerName val="0"/>
              <c:showPercent val="0"/>
              <c:showBubbleSize val="0"/>
            </c:dLbl>
            <c:dLbl>
              <c:idx val="4"/>
              <c:tx>
                <c:rich>
                  <a:bodyPr/>
                  <a:lstStyle/>
                  <a:p>
                    <a:r>
                      <a:rPr lang="zh-CN" altLang="en-US" sz="900" b="1">
                        <a:solidFill>
                          <a:srgbClr val="C00000"/>
                        </a:solidFill>
                        <a:latin typeface="微软雅黑" pitchFamily="34" charset="-122"/>
                        <a:ea typeface="微软雅黑" pitchFamily="34" charset="-122"/>
                      </a:rPr>
                      <a:t>营业货：</a:t>
                    </a:r>
                    <a:r>
                      <a:rPr lang="en-US" altLang="en-US" sz="900" b="1">
                        <a:solidFill>
                          <a:srgbClr val="C00000"/>
                        </a:solidFill>
                        <a:latin typeface="微软雅黑" pitchFamily="34" charset="-122"/>
                        <a:ea typeface="微软雅黑" pitchFamily="34" charset="-122"/>
                      </a:rPr>
                      <a:t>9111</a:t>
                    </a:r>
                    <a:r>
                      <a:rPr lang="zh-CN" altLang="en-US" sz="900" b="1">
                        <a:solidFill>
                          <a:srgbClr val="C00000"/>
                        </a:solidFill>
                        <a:latin typeface="微软雅黑" pitchFamily="34" charset="-122"/>
                        <a:ea typeface="微软雅黑" pitchFamily="34" charset="-122"/>
                      </a:rPr>
                      <a:t>万</a:t>
                    </a:r>
                    <a:endParaRPr lang="en-US" altLang="en-US"/>
                  </a:p>
                </c:rich>
              </c:tx>
              <c:dLblPos val="bestFit"/>
              <c:showLegendKey val="0"/>
              <c:showVal val="0"/>
              <c:showCatName val="0"/>
              <c:showSerName val="0"/>
              <c:showPercent val="0"/>
              <c:showBubbleSize val="0"/>
            </c:dLbl>
            <c:dLbl>
              <c:idx val="5"/>
              <c:layout>
                <c:manualLayout>
                  <c:x val="0.39439083467682268"/>
                  <c:y val="1.8453248899443126E-2"/>
                </c:manualLayout>
              </c:layout>
              <c:tx>
                <c:rich>
                  <a:bodyPr/>
                  <a:lstStyle/>
                  <a:p>
                    <a:r>
                      <a:rPr lang="zh-CN" altLang="en-US" sz="900" b="1">
                        <a:solidFill>
                          <a:srgbClr val="C00000"/>
                        </a:solidFill>
                        <a:latin typeface="微软雅黑" pitchFamily="34" charset="-122"/>
                        <a:ea typeface="微软雅黑" pitchFamily="34" charset="-122"/>
                      </a:rPr>
                      <a:t>特种车：</a:t>
                    </a:r>
                    <a:r>
                      <a:rPr lang="en-US" altLang="en-US" sz="900" b="1">
                        <a:solidFill>
                          <a:srgbClr val="C00000"/>
                        </a:solidFill>
                        <a:latin typeface="微软雅黑" pitchFamily="34" charset="-122"/>
                        <a:ea typeface="微软雅黑" pitchFamily="34" charset="-122"/>
                      </a:rPr>
                      <a:t>245</a:t>
                    </a:r>
                    <a:r>
                      <a:rPr lang="zh-CN" altLang="en-US" sz="900" b="1">
                        <a:solidFill>
                          <a:srgbClr val="C00000"/>
                        </a:solidFill>
                        <a:latin typeface="微软雅黑" pitchFamily="34" charset="-122"/>
                        <a:ea typeface="微软雅黑" pitchFamily="34" charset="-122"/>
                      </a:rPr>
                      <a:t>万</a:t>
                    </a:r>
                    <a:endParaRPr lang="en-US" altLang="en-US"/>
                  </a:p>
                </c:rich>
              </c:tx>
              <c:dLblPos val="bestFit"/>
              <c:showLegendKey val="0"/>
              <c:showVal val="0"/>
              <c:showCatName val="0"/>
              <c:showSerName val="0"/>
              <c:showPercent val="0"/>
              <c:showBubbleSize val="0"/>
            </c:dLbl>
            <c:spPr>
              <a:noFill/>
              <a:ln w="25400">
                <a:noFill/>
              </a:ln>
            </c:spPr>
            <c:txPr>
              <a:bodyPr/>
              <a:lstStyle/>
              <a:p>
                <a:pPr>
                  <a:defRPr sz="900" b="1">
                    <a:solidFill>
                      <a:srgbClr val="C00000"/>
                    </a:solidFill>
                    <a:latin typeface="微软雅黑" pitchFamily="34" charset="-122"/>
                    <a:ea typeface="微软雅黑" pitchFamily="34" charset="-122"/>
                  </a:defRPr>
                </a:pPr>
                <a:endParaRPr lang="zh-CN"/>
              </a:p>
            </c:txPr>
            <c:showLegendKey val="0"/>
            <c:showVal val="1"/>
            <c:showCatName val="0"/>
            <c:showSerName val="0"/>
            <c:showPercent val="0"/>
            <c:showBubbleSize val="0"/>
            <c:showLeaderLines val="1"/>
          </c:dLbls>
          <c:cat>
            <c:strRef>
              <c:f>使用性质!$B$37:$B$42</c:f>
              <c:strCache>
                <c:ptCount val="6"/>
                <c:pt idx="0">
                  <c:v>家庭自用车</c:v>
                </c:pt>
                <c:pt idx="1">
                  <c:v>非营业客车</c:v>
                </c:pt>
                <c:pt idx="2">
                  <c:v>营业客车</c:v>
                </c:pt>
                <c:pt idx="3">
                  <c:v>非营业货车</c:v>
                </c:pt>
                <c:pt idx="4">
                  <c:v>营业货车</c:v>
                </c:pt>
                <c:pt idx="5">
                  <c:v>特种车</c:v>
                </c:pt>
              </c:strCache>
            </c:strRef>
          </c:cat>
          <c:val>
            <c:numRef>
              <c:f>使用性质!$C$37:$C$42</c:f>
              <c:numCache>
                <c:formatCode>0</c:formatCode>
                <c:ptCount val="6"/>
                <c:pt idx="0">
                  <c:v>48477.284448999992</c:v>
                </c:pt>
                <c:pt idx="1">
                  <c:v>4684.7448650000006</c:v>
                </c:pt>
                <c:pt idx="2">
                  <c:v>2574.2562260000004</c:v>
                </c:pt>
                <c:pt idx="3">
                  <c:v>6475.7004159999979</c:v>
                </c:pt>
                <c:pt idx="4">
                  <c:v>9110.7782399999996</c:v>
                </c:pt>
                <c:pt idx="5">
                  <c:v>245.143</c:v>
                </c:pt>
              </c:numCache>
            </c:numRef>
          </c:val>
        </c:ser>
        <c:dLbls>
          <c:showLegendKey val="0"/>
          <c:showVal val="0"/>
          <c:showCatName val="0"/>
          <c:showSerName val="0"/>
          <c:showPercent val="0"/>
          <c:showBubbleSize val="0"/>
          <c:showLeaderLines val="1"/>
        </c:dLbls>
      </c:pie3DChart>
      <c:spPr>
        <a:noFill/>
        <a:ln w="25400">
          <a:noFill/>
        </a:ln>
      </c:spPr>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en-US" altLang="zh-CN" sz="1000"/>
              <a:t>2020</a:t>
            </a:r>
            <a:r>
              <a:rPr lang="zh-CN" altLang="en-US" sz="1000"/>
              <a:t>年</a:t>
            </a:r>
            <a:r>
              <a:rPr lang="en-US" altLang="zh-CN" sz="1000"/>
              <a:t>1-9</a:t>
            </a:r>
            <a:r>
              <a:rPr lang="zh-CN" altLang="en-US" sz="1000"/>
              <a:t>月车辆使用性质增速情况</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使用性质!$C$58</c:f>
              <c:strCache>
                <c:ptCount val="1"/>
                <c:pt idx="0">
                  <c:v>1季度车辆使用性质增速情况</c:v>
                </c:pt>
              </c:strCache>
            </c:strRef>
          </c:tx>
          <c:invertIfNegative val="0"/>
          <c:dPt>
            <c:idx val="4"/>
            <c:invertIfNegative val="0"/>
            <c:bubble3D val="0"/>
            <c:spPr>
              <a:solidFill>
                <a:schemeClr val="accent2"/>
              </a:solidFill>
            </c:spPr>
          </c:dPt>
          <c:dPt>
            <c:idx val="6"/>
            <c:invertIfNegative val="0"/>
            <c:bubble3D val="0"/>
            <c:spPr>
              <a:solidFill>
                <a:srgbClr val="D41EE2"/>
              </a:solidFill>
            </c:spPr>
          </c:dPt>
          <c:dLbls>
            <c:dLbl>
              <c:idx val="0"/>
              <c:layout>
                <c:manualLayout>
                  <c:x val="-6.9620751917825588E-2"/>
                  <c:y val="6.6662242513339104E-2"/>
                </c:manualLayout>
              </c:layout>
              <c:showLegendKey val="0"/>
              <c:showVal val="1"/>
              <c:showCatName val="0"/>
              <c:showSerName val="0"/>
              <c:showPercent val="0"/>
              <c:showBubbleSize val="0"/>
            </c:dLbl>
            <c:dLbl>
              <c:idx val="1"/>
              <c:layout>
                <c:manualLayout>
                  <c:x val="-8.0498994404985827E-2"/>
                  <c:y val="-0.19046355003811147"/>
                </c:manualLayout>
              </c:layout>
              <c:showLegendKey val="0"/>
              <c:showVal val="1"/>
              <c:showCatName val="0"/>
              <c:showSerName val="0"/>
              <c:showPercent val="0"/>
              <c:showBubbleSize val="0"/>
            </c:dLbl>
            <c:dLbl>
              <c:idx val="2"/>
              <c:layout>
                <c:manualLayout>
                  <c:x val="-5.0039915440937138E-2"/>
                  <c:y val="-6.6662242513339007E-2"/>
                </c:manualLayout>
              </c:layout>
              <c:showLegendKey val="0"/>
              <c:showVal val="1"/>
              <c:showCatName val="0"/>
              <c:showSerName val="0"/>
              <c:showPercent val="0"/>
              <c:showBubbleSize val="0"/>
            </c:dLbl>
            <c:dLbl>
              <c:idx val="3"/>
              <c:layout>
                <c:manualLayout>
                  <c:x val="-1.5229539482024346E-2"/>
                  <c:y val="-0.15237084003048917"/>
                </c:manualLayout>
              </c:layout>
              <c:showLegendKey val="0"/>
              <c:showVal val="1"/>
              <c:showCatName val="0"/>
              <c:showSerName val="0"/>
              <c:showPercent val="0"/>
              <c:showBubbleSize val="0"/>
            </c:dLbl>
            <c:dLbl>
              <c:idx val="4"/>
              <c:layout>
                <c:manualLayout>
                  <c:x val="-4.1337321451208942E-2"/>
                  <c:y val="-2.8569532505716741E-2"/>
                </c:manualLayout>
              </c:layout>
              <c:showLegendKey val="0"/>
              <c:showVal val="1"/>
              <c:showCatName val="0"/>
              <c:showSerName val="0"/>
              <c:showPercent val="0"/>
              <c:showBubbleSize val="0"/>
            </c:dLbl>
            <c:dLbl>
              <c:idx val="6"/>
              <c:layout>
                <c:manualLayout>
                  <c:x val="5.7464783718124246E-2"/>
                  <c:y val="0.14035473841564078"/>
                </c:manualLayout>
              </c:layout>
              <c:spPr>
                <a:solidFill>
                  <a:schemeClr val="accent4"/>
                </a:solidFill>
              </c:spPr>
              <c:txPr>
                <a:bodyPr/>
                <a:lstStyle/>
                <a:p>
                  <a:pPr>
                    <a:defRPr sz="1000" b="1">
                      <a:solidFill>
                        <a:srgbClr val="C00000"/>
                      </a:solidFill>
                      <a:latin typeface="+mn-ea"/>
                      <a:ea typeface="+mn-ea"/>
                    </a:defRPr>
                  </a:pPr>
                  <a:endParaRPr lang="zh-CN"/>
                </a:p>
              </c:txPr>
              <c:showLegendKey val="0"/>
              <c:showVal val="1"/>
              <c:showCatName val="0"/>
              <c:showSerName val="0"/>
              <c:showPercent val="0"/>
              <c:showBubbleSize val="0"/>
            </c:dLbl>
            <c:txPr>
              <a:bodyPr/>
              <a:lstStyle/>
              <a:p>
                <a:pPr>
                  <a:defRPr sz="1000" b="1">
                    <a:solidFill>
                      <a:srgbClr val="C00000"/>
                    </a:solidFill>
                    <a:latin typeface="+mn-ea"/>
                    <a:ea typeface="+mn-ea"/>
                  </a:defRPr>
                </a:pPr>
                <a:endParaRPr lang="zh-CN"/>
              </a:p>
            </c:txPr>
            <c:showLegendKey val="0"/>
            <c:showVal val="1"/>
            <c:showCatName val="0"/>
            <c:showSerName val="0"/>
            <c:showPercent val="0"/>
            <c:showBubbleSize val="0"/>
            <c:showLeaderLines val="0"/>
          </c:dLbls>
          <c:cat>
            <c:strRef>
              <c:f>使用性质!$B$59:$B$65</c:f>
              <c:strCache>
                <c:ptCount val="7"/>
                <c:pt idx="0">
                  <c:v>家庭自用车</c:v>
                </c:pt>
                <c:pt idx="1">
                  <c:v>非营业客车</c:v>
                </c:pt>
                <c:pt idx="2">
                  <c:v>营业客车</c:v>
                </c:pt>
                <c:pt idx="3">
                  <c:v>非营业货车</c:v>
                </c:pt>
                <c:pt idx="4">
                  <c:v>营业货车</c:v>
                </c:pt>
                <c:pt idx="5">
                  <c:v>特种车</c:v>
                </c:pt>
                <c:pt idx="6">
                  <c:v>车险合计</c:v>
                </c:pt>
              </c:strCache>
            </c:strRef>
          </c:cat>
          <c:val>
            <c:numRef>
              <c:f>使用性质!$C$59:$C$65</c:f>
              <c:numCache>
                <c:formatCode>0.00%</c:formatCode>
                <c:ptCount val="7"/>
                <c:pt idx="0">
                  <c:v>-2.9016673106201089E-2</c:v>
                </c:pt>
                <c:pt idx="1">
                  <c:v>-6.404688111848976E-2</c:v>
                </c:pt>
                <c:pt idx="2">
                  <c:v>-0.12225605272758887</c:v>
                </c:pt>
                <c:pt idx="3">
                  <c:v>-4.4562056027608446E-2</c:v>
                </c:pt>
                <c:pt idx="4">
                  <c:v>0.15016054667725404</c:v>
                </c:pt>
                <c:pt idx="5">
                  <c:v>-0.22680018924459866</c:v>
                </c:pt>
                <c:pt idx="6">
                  <c:v>-5.7000000000000002E-3</c:v>
                </c:pt>
              </c:numCache>
            </c:numRef>
          </c:val>
        </c:ser>
        <c:dLbls>
          <c:showLegendKey val="0"/>
          <c:showVal val="0"/>
          <c:showCatName val="0"/>
          <c:showSerName val="0"/>
          <c:showPercent val="0"/>
          <c:showBubbleSize val="0"/>
        </c:dLbls>
        <c:gapWidth val="150"/>
        <c:shape val="cylinder"/>
        <c:axId val="451966848"/>
        <c:axId val="451968384"/>
        <c:axId val="0"/>
      </c:bar3DChart>
      <c:catAx>
        <c:axId val="451966848"/>
        <c:scaling>
          <c:orientation val="minMax"/>
        </c:scaling>
        <c:delete val="0"/>
        <c:axPos val="b"/>
        <c:majorTickMark val="out"/>
        <c:minorTickMark val="none"/>
        <c:tickLblPos val="nextTo"/>
        <c:txPr>
          <a:bodyPr/>
          <a:lstStyle/>
          <a:p>
            <a:pPr>
              <a:defRPr sz="800" b="1">
                <a:solidFill>
                  <a:schemeClr val="tx1"/>
                </a:solidFill>
                <a:latin typeface="微软雅黑" pitchFamily="34" charset="-122"/>
                <a:ea typeface="微软雅黑" pitchFamily="34" charset="-122"/>
              </a:defRPr>
            </a:pPr>
            <a:endParaRPr lang="zh-CN"/>
          </a:p>
        </c:txPr>
        <c:crossAx val="451968384"/>
        <c:crosses val="autoZero"/>
        <c:auto val="1"/>
        <c:lblAlgn val="ctr"/>
        <c:lblOffset val="100"/>
        <c:noMultiLvlLbl val="0"/>
      </c:catAx>
      <c:valAx>
        <c:axId val="451968384"/>
        <c:scaling>
          <c:orientation val="minMax"/>
        </c:scaling>
        <c:delete val="1"/>
        <c:axPos val="l"/>
        <c:majorGridlines/>
        <c:numFmt formatCode="0.00%" sourceLinked="1"/>
        <c:majorTickMark val="out"/>
        <c:minorTickMark val="none"/>
        <c:tickLblPos val="nextTo"/>
        <c:crossAx val="451966848"/>
        <c:crosses val="autoZero"/>
        <c:crossBetween val="between"/>
      </c:valAx>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ltLang="zh-CN"/>
              <a:t>2020</a:t>
            </a:r>
            <a:r>
              <a:rPr lang="zh-CN" altLang="en-US"/>
              <a:t>年</a:t>
            </a:r>
            <a:r>
              <a:rPr lang="en-US" altLang="zh-CN"/>
              <a:t>1-9</a:t>
            </a:r>
            <a:r>
              <a:rPr lang="zh-CN" altLang="en-US"/>
              <a:t>月农险保费情况（万元）</a:t>
            </a:r>
          </a:p>
        </c:rich>
      </c:tx>
      <c:layout>
        <c:manualLayout>
          <c:xMode val="edge"/>
          <c:yMode val="edge"/>
          <c:x val="0.16993111957542559"/>
          <c:y val="0"/>
        </c:manualLayout>
      </c:layout>
      <c:overlay val="0"/>
      <c:spPr>
        <a:noFill/>
        <a:ln w="25400">
          <a:noFill/>
        </a:ln>
      </c:spPr>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农险!$B$1</c:f>
              <c:strCache>
                <c:ptCount val="1"/>
                <c:pt idx="0">
                  <c:v>农险保费</c:v>
                </c:pt>
              </c:strCache>
            </c:strRef>
          </c:tx>
          <c:explosion val="25"/>
          <c:dPt>
            <c:idx val="0"/>
            <c:bubble3D val="0"/>
          </c:dPt>
          <c:dPt>
            <c:idx val="1"/>
            <c:bubble3D val="0"/>
          </c:dPt>
          <c:dPt>
            <c:idx val="2"/>
            <c:bubble3D val="0"/>
          </c:dPt>
          <c:dLbls>
            <c:dLbl>
              <c:idx val="0"/>
              <c:layout>
                <c:manualLayout>
                  <c:x val="0.11721669323929688"/>
                  <c:y val="-4.828820010134606E-2"/>
                </c:manualLayout>
              </c:layout>
              <c:tx>
                <c:rich>
                  <a:bodyPr/>
                  <a:lstStyle/>
                  <a:p>
                    <a:r>
                      <a:rPr lang="zh-CN" altLang="en-US" sz="1600" b="1">
                        <a:solidFill>
                          <a:srgbClr val="C00000"/>
                        </a:solidFill>
                      </a:rPr>
                      <a:t>种植险：</a:t>
                    </a:r>
                    <a:r>
                      <a:rPr lang="en-US" altLang="en-US" sz="1600" b="1">
                        <a:solidFill>
                          <a:srgbClr val="C00000"/>
                        </a:solidFill>
                      </a:rPr>
                      <a:t>13919</a:t>
                    </a:r>
                    <a:endParaRPr lang="en-US" altLang="en-US"/>
                  </a:p>
                </c:rich>
              </c:tx>
              <c:dLblPos val="bestFit"/>
              <c:showLegendKey val="0"/>
              <c:showVal val="0"/>
              <c:showCatName val="0"/>
              <c:showSerName val="0"/>
              <c:showPercent val="0"/>
              <c:showBubbleSize val="0"/>
            </c:dLbl>
            <c:dLbl>
              <c:idx val="1"/>
              <c:layout>
                <c:manualLayout>
                  <c:x val="-7.4328468060204322E-2"/>
                  <c:y val="6.2075770588996666E-2"/>
                </c:manualLayout>
              </c:layout>
              <c:tx>
                <c:rich>
                  <a:bodyPr/>
                  <a:lstStyle/>
                  <a:p>
                    <a:r>
                      <a:rPr lang="zh-CN" altLang="en-US" sz="1600" b="1">
                        <a:solidFill>
                          <a:srgbClr val="C00000"/>
                        </a:solidFill>
                      </a:rPr>
                      <a:t>养殖险：</a:t>
                    </a:r>
                    <a:r>
                      <a:rPr lang="en-US" altLang="en-US" sz="1600" b="1">
                        <a:solidFill>
                          <a:srgbClr val="C00000"/>
                        </a:solidFill>
                      </a:rPr>
                      <a:t>2322</a:t>
                    </a:r>
                    <a:endParaRPr lang="en-US" altLang="en-US"/>
                  </a:p>
                </c:rich>
              </c:tx>
              <c:dLblPos val="bestFit"/>
              <c:showLegendKey val="0"/>
              <c:showVal val="0"/>
              <c:showCatName val="0"/>
              <c:showSerName val="0"/>
              <c:showPercent val="0"/>
              <c:showBubbleSize val="0"/>
            </c:dLbl>
            <c:dLbl>
              <c:idx val="2"/>
              <c:layout>
                <c:manualLayout>
                  <c:x val="0.19364282029696597"/>
                  <c:y val="7.3236147689677178E-2"/>
                </c:manualLayout>
              </c:layout>
              <c:tx>
                <c:rich>
                  <a:bodyPr/>
                  <a:lstStyle/>
                  <a:p>
                    <a:r>
                      <a:rPr lang="zh-CN" altLang="en-US" sz="1600" b="1">
                        <a:solidFill>
                          <a:srgbClr val="C00000"/>
                        </a:solidFill>
                      </a:rPr>
                      <a:t>森林险：</a:t>
                    </a:r>
                    <a:r>
                      <a:rPr lang="en-US" altLang="en-US" sz="1600" b="1">
                        <a:solidFill>
                          <a:srgbClr val="C00000"/>
                        </a:solidFill>
                      </a:rPr>
                      <a:t>929</a:t>
                    </a:r>
                    <a:endParaRPr lang="en-US" altLang="en-US"/>
                  </a:p>
                </c:rich>
              </c:tx>
              <c:dLblPos val="bestFit"/>
              <c:showLegendKey val="0"/>
              <c:showVal val="0"/>
              <c:showCatName val="0"/>
              <c:showSerName val="0"/>
              <c:showPercent val="0"/>
              <c:showBubbleSize val="0"/>
            </c:dLbl>
            <c:spPr>
              <a:noFill/>
              <a:ln w="25400">
                <a:noFill/>
              </a:ln>
            </c:spPr>
            <c:txPr>
              <a:bodyPr/>
              <a:lstStyle/>
              <a:p>
                <a:pPr>
                  <a:defRPr sz="1600" b="1">
                    <a:solidFill>
                      <a:srgbClr val="C00000"/>
                    </a:solidFill>
                  </a:defRPr>
                </a:pPr>
                <a:endParaRPr lang="zh-CN"/>
              </a:p>
            </c:txPr>
            <c:showLegendKey val="0"/>
            <c:showVal val="1"/>
            <c:showCatName val="0"/>
            <c:showSerName val="0"/>
            <c:showPercent val="0"/>
            <c:showBubbleSize val="0"/>
            <c:showLeaderLines val="1"/>
          </c:dLbls>
          <c:cat>
            <c:strRef>
              <c:f>农险!$A$2:$A$4</c:f>
              <c:strCache>
                <c:ptCount val="3"/>
                <c:pt idx="0">
                  <c:v> 种植险</c:v>
                </c:pt>
                <c:pt idx="1">
                  <c:v>养殖险</c:v>
                </c:pt>
                <c:pt idx="2">
                  <c:v>森林险</c:v>
                </c:pt>
              </c:strCache>
            </c:strRef>
          </c:cat>
          <c:val>
            <c:numRef>
              <c:f>农险!$B$2:$B$4</c:f>
              <c:numCache>
                <c:formatCode>0</c:formatCode>
                <c:ptCount val="3"/>
                <c:pt idx="0">
                  <c:v>13918.911599999999</c:v>
                </c:pt>
                <c:pt idx="1">
                  <c:v>2321.7503000000002</c:v>
                </c:pt>
                <c:pt idx="2">
                  <c:v>929.38480000000004</c:v>
                </c:pt>
              </c:numCache>
            </c:numRef>
          </c:val>
        </c:ser>
        <c:dLbls>
          <c:showLegendKey val="0"/>
          <c:showVal val="0"/>
          <c:showCatName val="0"/>
          <c:showSerName val="0"/>
          <c:showPercent val="0"/>
          <c:showBubbleSize val="0"/>
          <c:showLeaderLines val="1"/>
        </c:dLbls>
      </c:pie3DChart>
      <c:spPr>
        <a:noFill/>
        <a:ln w="25400">
          <a:noFill/>
        </a:ln>
      </c:spPr>
    </c:plotArea>
    <c:legend>
      <c:legendPos val="r"/>
      <c:layout>
        <c:manualLayout>
          <c:xMode val="edge"/>
          <c:yMode val="edge"/>
          <c:x val="0.84928717610739179"/>
          <c:y val="0.44164041994750658"/>
          <c:w val="0.13238290147652243"/>
          <c:h val="0.22712918507137825"/>
        </c:manualLayout>
      </c:layout>
      <c:overlay val="0"/>
      <c:spPr>
        <a:noFill/>
        <a:ln w="25400">
          <a:noFill/>
        </a:ln>
      </c:spPr>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ltLang="zh-CN"/>
              <a:t>2020</a:t>
            </a:r>
            <a:r>
              <a:rPr lang="zh-CN" altLang="en-US"/>
              <a:t>年</a:t>
            </a:r>
            <a:r>
              <a:rPr lang="en-US" altLang="zh-CN"/>
              <a:t>1-9</a:t>
            </a:r>
            <a:r>
              <a:rPr lang="zh-CN" altLang="en-US"/>
              <a:t>月各主体农险保费（万元）</a:t>
            </a:r>
          </a:p>
        </c:rich>
      </c:tx>
      <c:layout>
        <c:manualLayout>
          <c:xMode val="edge"/>
          <c:yMode val="edge"/>
          <c:x val="0.12277370836625273"/>
          <c:y val="6.0997247451255964E-5"/>
        </c:manualLayout>
      </c:layout>
      <c:overlay val="0"/>
      <c:spPr>
        <a:noFill/>
        <a:ln w="25400">
          <a:noFill/>
        </a:ln>
      </c:spPr>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2.636371655144484E-2"/>
          <c:y val="0.28651687069812654"/>
          <c:w val="0.96192700098544781"/>
          <c:h val="0.70034817946700612"/>
        </c:manualLayout>
      </c:layout>
      <c:pie3DChart>
        <c:varyColors val="1"/>
        <c:ser>
          <c:idx val="0"/>
          <c:order val="0"/>
          <c:tx>
            <c:strRef>
              <c:f>农险!$B$7</c:f>
              <c:strCache>
                <c:ptCount val="1"/>
                <c:pt idx="0">
                  <c:v>上半年各主体农险保费情况</c:v>
                </c:pt>
              </c:strCache>
            </c:strRef>
          </c:tx>
          <c:dPt>
            <c:idx val="0"/>
            <c:bubble3D val="0"/>
            <c:explosion val="8"/>
          </c:dPt>
          <c:dPt>
            <c:idx val="1"/>
            <c:bubble3D val="0"/>
            <c:explosion val="40"/>
          </c:dPt>
          <c:dPt>
            <c:idx val="2"/>
            <c:bubble3D val="0"/>
            <c:explosion val="11"/>
          </c:dPt>
          <c:dPt>
            <c:idx val="3"/>
            <c:bubble3D val="0"/>
            <c:explosion val="37"/>
          </c:dPt>
          <c:dPt>
            <c:idx val="4"/>
            <c:bubble3D val="0"/>
            <c:explosion val="18"/>
          </c:dPt>
          <c:dPt>
            <c:idx val="5"/>
            <c:bubble3D val="0"/>
            <c:explosion val="29"/>
          </c:dPt>
          <c:dLbls>
            <c:dLbl>
              <c:idx val="0"/>
              <c:layout>
                <c:manualLayout>
                  <c:x val="0.10044587008212698"/>
                  <c:y val="-0.10851688348784018"/>
                </c:manualLayout>
              </c:layout>
              <c:tx>
                <c:rich>
                  <a:bodyPr/>
                  <a:lstStyle/>
                  <a:p>
                    <a:r>
                      <a:rPr lang="zh-CN" altLang="en-US" sz="1200" b="1">
                        <a:solidFill>
                          <a:srgbClr val="C00000"/>
                        </a:solidFill>
                      </a:rPr>
                      <a:t>人保：</a:t>
                    </a:r>
                    <a:r>
                      <a:rPr lang="en-US" altLang="en-US" sz="1200" b="1">
                        <a:solidFill>
                          <a:srgbClr val="C00000"/>
                        </a:solidFill>
                      </a:rPr>
                      <a:t>6805</a:t>
                    </a:r>
                    <a:endParaRPr lang="en-US" altLang="en-US"/>
                  </a:p>
                </c:rich>
              </c:tx>
              <c:dLblPos val="bestFit"/>
              <c:showLegendKey val="0"/>
              <c:showVal val="0"/>
              <c:showCatName val="0"/>
              <c:showSerName val="0"/>
              <c:showPercent val="0"/>
              <c:showBubbleSize val="0"/>
            </c:dLbl>
            <c:dLbl>
              <c:idx val="1"/>
              <c:layout>
                <c:manualLayout>
                  <c:x val="0.10396540784166072"/>
                  <c:y val="-1.5891645545875636E-2"/>
                </c:manualLayout>
              </c:layout>
              <c:tx>
                <c:rich>
                  <a:bodyPr/>
                  <a:lstStyle/>
                  <a:p>
                    <a:r>
                      <a:rPr lang="zh-CN" altLang="en-US" sz="1200" b="1">
                        <a:solidFill>
                          <a:srgbClr val="C00000"/>
                        </a:solidFill>
                      </a:rPr>
                      <a:t>太平洋：</a:t>
                    </a:r>
                    <a:r>
                      <a:rPr lang="en-US" altLang="en-US" sz="1200" b="1">
                        <a:solidFill>
                          <a:srgbClr val="C00000"/>
                        </a:solidFill>
                      </a:rPr>
                      <a:t>304</a:t>
                    </a:r>
                    <a:endParaRPr lang="en-US" altLang="en-US"/>
                  </a:p>
                </c:rich>
              </c:tx>
              <c:dLblPos val="bestFit"/>
              <c:showLegendKey val="0"/>
              <c:showVal val="0"/>
              <c:showCatName val="0"/>
              <c:showSerName val="0"/>
              <c:showPercent val="0"/>
              <c:showBubbleSize val="0"/>
            </c:dLbl>
            <c:dLbl>
              <c:idx val="2"/>
              <c:layout>
                <c:manualLayout>
                  <c:x val="-5.1507336796469461E-2"/>
                  <c:y val="5.6333999108983283E-2"/>
                </c:manualLayout>
              </c:layout>
              <c:tx>
                <c:rich>
                  <a:bodyPr/>
                  <a:lstStyle/>
                  <a:p>
                    <a:r>
                      <a:rPr lang="zh-CN" altLang="en-US" sz="1200" b="1">
                        <a:solidFill>
                          <a:srgbClr val="C00000"/>
                        </a:solidFill>
                      </a:rPr>
                      <a:t>中华：</a:t>
                    </a:r>
                    <a:r>
                      <a:rPr lang="en-US" altLang="en-US" sz="1200" b="1">
                        <a:solidFill>
                          <a:srgbClr val="C00000"/>
                        </a:solidFill>
                      </a:rPr>
                      <a:t>4942</a:t>
                    </a:r>
                    <a:endParaRPr lang="en-US" altLang="en-US"/>
                  </a:p>
                </c:rich>
              </c:tx>
              <c:dLblPos val="bestFit"/>
              <c:showLegendKey val="0"/>
              <c:showVal val="0"/>
              <c:showCatName val="0"/>
              <c:showSerName val="0"/>
              <c:showPercent val="0"/>
              <c:showBubbleSize val="0"/>
            </c:dLbl>
            <c:dLbl>
              <c:idx val="3"/>
              <c:layout>
                <c:manualLayout>
                  <c:x val="-2.0212397673242958E-2"/>
                  <c:y val="5.7861090919942786E-2"/>
                </c:manualLayout>
              </c:layout>
              <c:tx>
                <c:rich>
                  <a:bodyPr/>
                  <a:lstStyle/>
                  <a:p>
                    <a:r>
                      <a:rPr lang="zh-CN" altLang="en-US" sz="1200" b="1">
                        <a:solidFill>
                          <a:srgbClr val="C00000"/>
                        </a:solidFill>
                      </a:rPr>
                      <a:t>国寿财：</a:t>
                    </a:r>
                    <a:r>
                      <a:rPr lang="en-US" altLang="en-US" sz="1200" b="1">
                        <a:solidFill>
                          <a:srgbClr val="C00000"/>
                        </a:solidFill>
                      </a:rPr>
                      <a:t>159</a:t>
                    </a:r>
                    <a:endParaRPr lang="en-US" altLang="en-US"/>
                  </a:p>
                </c:rich>
              </c:tx>
              <c:dLblPos val="bestFit"/>
              <c:showLegendKey val="0"/>
              <c:showVal val="0"/>
              <c:showCatName val="0"/>
              <c:showSerName val="0"/>
              <c:showPercent val="0"/>
              <c:showBubbleSize val="0"/>
            </c:dLbl>
            <c:dLbl>
              <c:idx val="4"/>
              <c:layout>
                <c:manualLayout>
                  <c:x val="-9.631590478620336E-2"/>
                  <c:y val="-4.4332984458366281E-2"/>
                </c:manualLayout>
              </c:layout>
              <c:tx>
                <c:rich>
                  <a:bodyPr/>
                  <a:lstStyle/>
                  <a:p>
                    <a:r>
                      <a:rPr lang="zh-CN" altLang="en-US" sz="1200" b="1">
                        <a:solidFill>
                          <a:srgbClr val="C00000"/>
                        </a:solidFill>
                      </a:rPr>
                      <a:t>安华农业：</a:t>
                    </a:r>
                    <a:r>
                      <a:rPr lang="en-US" altLang="en-US" sz="1200" b="1">
                        <a:solidFill>
                          <a:srgbClr val="C00000"/>
                        </a:solidFill>
                      </a:rPr>
                      <a:t>1991</a:t>
                    </a:r>
                    <a:endParaRPr lang="en-US" altLang="en-US"/>
                  </a:p>
                </c:rich>
              </c:tx>
              <c:dLblPos val="bestFit"/>
              <c:showLegendKey val="0"/>
              <c:showVal val="0"/>
              <c:showCatName val="0"/>
              <c:showSerName val="0"/>
              <c:showPercent val="0"/>
              <c:showBubbleSize val="0"/>
            </c:dLbl>
            <c:dLbl>
              <c:idx val="5"/>
              <c:layout>
                <c:manualLayout>
                  <c:x val="-3.4566360283133667E-2"/>
                  <c:y val="-7.8959428896652716E-3"/>
                </c:manualLayout>
              </c:layout>
              <c:tx>
                <c:rich>
                  <a:bodyPr/>
                  <a:lstStyle/>
                  <a:p>
                    <a:r>
                      <a:rPr lang="zh-CN" altLang="en-US" sz="1200" b="1">
                        <a:solidFill>
                          <a:srgbClr val="C00000"/>
                        </a:solidFill>
                      </a:rPr>
                      <a:t>中航安盟：</a:t>
                    </a:r>
                    <a:r>
                      <a:rPr lang="en-US" altLang="en-US" sz="1200" b="1">
                        <a:solidFill>
                          <a:srgbClr val="C00000"/>
                        </a:solidFill>
                      </a:rPr>
                      <a:t>2969</a:t>
                    </a:r>
                    <a:endParaRPr lang="en-US" altLang="en-US"/>
                  </a:p>
                </c:rich>
              </c:tx>
              <c:dLblPos val="bestFit"/>
              <c:showLegendKey val="0"/>
              <c:showVal val="0"/>
              <c:showCatName val="0"/>
              <c:showSerName val="0"/>
              <c:showPercent val="0"/>
              <c:showBubbleSize val="0"/>
            </c:dLbl>
            <c:spPr>
              <a:noFill/>
              <a:ln w="25400">
                <a:noFill/>
              </a:ln>
            </c:spPr>
            <c:txPr>
              <a:bodyPr/>
              <a:lstStyle/>
              <a:p>
                <a:pPr>
                  <a:defRPr sz="1200" b="1">
                    <a:solidFill>
                      <a:srgbClr val="C00000"/>
                    </a:solidFill>
                  </a:defRPr>
                </a:pPr>
                <a:endParaRPr lang="zh-CN"/>
              </a:p>
            </c:txPr>
            <c:showLegendKey val="0"/>
            <c:showVal val="1"/>
            <c:showCatName val="0"/>
            <c:showSerName val="0"/>
            <c:showPercent val="0"/>
            <c:showBubbleSize val="0"/>
            <c:showLeaderLines val="1"/>
          </c:dLbls>
          <c:cat>
            <c:strRef>
              <c:f>农险!$A$8:$A$13</c:f>
              <c:strCache>
                <c:ptCount val="6"/>
                <c:pt idx="0">
                  <c:v>人保</c:v>
                </c:pt>
                <c:pt idx="1">
                  <c:v>太平洋</c:v>
                </c:pt>
                <c:pt idx="2">
                  <c:v>中华联合</c:v>
                </c:pt>
                <c:pt idx="3">
                  <c:v>国寿财</c:v>
                </c:pt>
                <c:pt idx="4">
                  <c:v>安华农业</c:v>
                </c:pt>
                <c:pt idx="5">
                  <c:v>中航安盟</c:v>
                </c:pt>
              </c:strCache>
            </c:strRef>
          </c:cat>
          <c:val>
            <c:numRef>
              <c:f>农险!$B$8:$B$13</c:f>
              <c:numCache>
                <c:formatCode>#0</c:formatCode>
                <c:ptCount val="6"/>
                <c:pt idx="0">
                  <c:v>6804.9570999999996</c:v>
                </c:pt>
                <c:pt idx="1">
                  <c:v>304.06</c:v>
                </c:pt>
                <c:pt idx="2">
                  <c:v>4941.7637000000004</c:v>
                </c:pt>
                <c:pt idx="3">
                  <c:v>159.2698</c:v>
                </c:pt>
                <c:pt idx="4">
                  <c:v>1990.6606999999999</c:v>
                </c:pt>
                <c:pt idx="5">
                  <c:v>2969.3353999999999</c:v>
                </c:pt>
              </c:numCache>
            </c:numRef>
          </c:val>
        </c:ser>
        <c:dLbls>
          <c:showLegendKey val="0"/>
          <c:showVal val="0"/>
          <c:showCatName val="0"/>
          <c:showSerName val="0"/>
          <c:showPercent val="0"/>
          <c:showBubbleSize val="0"/>
          <c:showLeaderLines val="1"/>
        </c:dLbls>
      </c:pie3DChart>
      <c:spPr>
        <a:noFill/>
        <a:ln w="25400">
          <a:noFill/>
        </a:ln>
      </c:spPr>
    </c:plotArea>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a:lstStyle/>
          <a:p>
            <a:pPr>
              <a:defRPr sz="1800">
                <a:latin typeface="+mn-ea"/>
                <a:ea typeface="+mn-ea"/>
              </a:defRPr>
            </a:pPr>
            <a:r>
              <a:rPr lang="en-US" altLang="zh-CN" sz="1800" b="1" baseline="0">
                <a:latin typeface="+mn-ea"/>
                <a:ea typeface="+mn-ea"/>
              </a:rPr>
              <a:t>2020</a:t>
            </a:r>
            <a:r>
              <a:rPr lang="zh-CN" sz="1800" b="1" baseline="0">
                <a:latin typeface="+mn-ea"/>
                <a:ea typeface="+mn-ea"/>
              </a:rPr>
              <a:t>年</a:t>
            </a:r>
            <a:r>
              <a:rPr lang="en-US" altLang="zh-CN" sz="1800" b="1" baseline="0">
                <a:latin typeface="+mn-ea"/>
                <a:ea typeface="+mn-ea"/>
              </a:rPr>
              <a:t>9</a:t>
            </a:r>
            <a:r>
              <a:rPr lang="zh-CN" altLang="en-US" sz="1800" b="1" baseline="0">
                <a:latin typeface="+mn-ea"/>
                <a:ea typeface="+mn-ea"/>
              </a:rPr>
              <a:t>月末</a:t>
            </a:r>
            <a:r>
              <a:rPr lang="zh-CN" sz="1800" b="1" baseline="0">
                <a:latin typeface="+mn-ea"/>
                <a:ea typeface="+mn-ea"/>
              </a:rPr>
              <a:t>各机构</a:t>
            </a:r>
            <a:r>
              <a:rPr lang="zh-CN" altLang="en-US" sz="1800" b="1" baseline="0">
                <a:latin typeface="+mn-ea"/>
                <a:ea typeface="+mn-ea"/>
              </a:rPr>
              <a:t>商非</a:t>
            </a:r>
            <a:r>
              <a:rPr lang="zh-CN" sz="1800" b="1" baseline="0">
                <a:latin typeface="+mn-ea"/>
                <a:ea typeface="+mn-ea"/>
              </a:rPr>
              <a:t>业务增速</a:t>
            </a:r>
            <a:r>
              <a:rPr lang="en-US" altLang="zh-CN" sz="1800" b="1" baseline="0">
                <a:latin typeface="+mn-ea"/>
                <a:ea typeface="+mn-ea"/>
              </a:rPr>
              <a:t>%</a:t>
            </a:r>
            <a:endParaRPr lang="zh-CN" sz="1800" b="1" baseline="0">
              <a:latin typeface="+mn-ea"/>
              <a:ea typeface="+mn-ea"/>
            </a:endParaRPr>
          </a:p>
        </c:rich>
      </c:tx>
      <c:layout>
        <c:manualLayout>
          <c:xMode val="edge"/>
          <c:yMode val="edge"/>
          <c:x val="0.19807916131914663"/>
          <c:y val="3.631661751740492E-2"/>
        </c:manualLayout>
      </c:layout>
      <c:overlay val="0"/>
      <c:spPr>
        <a:noFill/>
        <a:ln w="25400">
          <a:noFill/>
        </a:ln>
      </c:spPr>
    </c:title>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9.5853816073137491E-2"/>
          <c:y val="0.20138745325753199"/>
          <c:w val="0.90543230266948338"/>
          <c:h val="0.49023645692937029"/>
        </c:manualLayout>
      </c:layout>
      <c:bar3DChart>
        <c:barDir val="col"/>
        <c:grouping val="clustered"/>
        <c:varyColors val="0"/>
        <c:ser>
          <c:idx val="0"/>
          <c:order val="0"/>
          <c:tx>
            <c:strRef>
              <c:f>商非主体增速!$B$1</c:f>
              <c:strCache>
                <c:ptCount val="1"/>
                <c:pt idx="0">
                  <c:v>增速</c:v>
                </c:pt>
              </c:strCache>
            </c:strRef>
          </c:tx>
          <c:invertIfNegative val="0"/>
          <c:cat>
            <c:strRef>
              <c:f>商非主体增速!$A$2:$A$21</c:f>
              <c:strCache>
                <c:ptCount val="20"/>
                <c:pt idx="0">
                  <c:v>人保</c:v>
                </c:pt>
                <c:pt idx="1">
                  <c:v>太平洋</c:v>
                </c:pt>
                <c:pt idx="2">
                  <c:v>平安</c:v>
                </c:pt>
                <c:pt idx="3">
                  <c:v>中华联合</c:v>
                </c:pt>
                <c:pt idx="4">
                  <c:v>国寿财</c:v>
                </c:pt>
                <c:pt idx="5">
                  <c:v>天安</c:v>
                </c:pt>
                <c:pt idx="6">
                  <c:v>大地</c:v>
                </c:pt>
                <c:pt idx="7">
                  <c:v>华安</c:v>
                </c:pt>
                <c:pt idx="8">
                  <c:v>永安</c:v>
                </c:pt>
                <c:pt idx="9">
                  <c:v>大家</c:v>
                </c:pt>
                <c:pt idx="10">
                  <c:v>阳光</c:v>
                </c:pt>
                <c:pt idx="11">
                  <c:v>永城</c:v>
                </c:pt>
                <c:pt idx="12">
                  <c:v>太平</c:v>
                </c:pt>
                <c:pt idx="13">
                  <c:v>渤海</c:v>
                </c:pt>
                <c:pt idx="14">
                  <c:v>亚太</c:v>
                </c:pt>
                <c:pt idx="15">
                  <c:v>安华</c:v>
                </c:pt>
                <c:pt idx="16">
                  <c:v>英大</c:v>
                </c:pt>
                <c:pt idx="17">
                  <c:v>浙商</c:v>
                </c:pt>
                <c:pt idx="18">
                  <c:v>中航安盟</c:v>
                </c:pt>
                <c:pt idx="19">
                  <c:v>富邦</c:v>
                </c:pt>
              </c:strCache>
            </c:strRef>
          </c:cat>
          <c:val>
            <c:numRef>
              <c:f>商非主体增速!$B$2:$B$21</c:f>
              <c:numCache>
                <c:formatCode>0.00%</c:formatCode>
                <c:ptCount val="20"/>
                <c:pt idx="0">
                  <c:v>0.39473055105625798</c:v>
                </c:pt>
                <c:pt idx="1">
                  <c:v>8.3243174753344995</c:v>
                </c:pt>
                <c:pt idx="2">
                  <c:v>1.1448546830194681</c:v>
                </c:pt>
                <c:pt idx="3">
                  <c:v>-2.3717183215593129E-2</c:v>
                </c:pt>
                <c:pt idx="4">
                  <c:v>1.0781648507621093</c:v>
                </c:pt>
                <c:pt idx="5">
                  <c:v>2.4296740785099189</c:v>
                </c:pt>
                <c:pt idx="6">
                  <c:v>-0.14566351761536078</c:v>
                </c:pt>
                <c:pt idx="7">
                  <c:v>-0.26960877678399076</c:v>
                </c:pt>
                <c:pt idx="8">
                  <c:v>0.41126218264950465</c:v>
                </c:pt>
                <c:pt idx="9">
                  <c:v>2.8244781783681221</c:v>
                </c:pt>
                <c:pt idx="10">
                  <c:v>0.36876834277684734</c:v>
                </c:pt>
                <c:pt idx="11">
                  <c:v>-0.63647549828049466</c:v>
                </c:pt>
                <c:pt idx="12">
                  <c:v>0.38572271825396842</c:v>
                </c:pt>
                <c:pt idx="13">
                  <c:v>0.89014778325122546</c:v>
                </c:pt>
                <c:pt idx="14">
                  <c:v>-0.54414867450122972</c:v>
                </c:pt>
                <c:pt idx="15">
                  <c:v>-0.25343579106165726</c:v>
                </c:pt>
                <c:pt idx="16">
                  <c:v>-0.1098895051826243</c:v>
                </c:pt>
                <c:pt idx="17">
                  <c:v>-0.38243386316596906</c:v>
                </c:pt>
                <c:pt idx="18">
                  <c:v>6.053724448078488</c:v>
                </c:pt>
                <c:pt idx="19">
                  <c:v>0.27402521597011531</c:v>
                </c:pt>
              </c:numCache>
            </c:numRef>
          </c:val>
        </c:ser>
        <c:dLbls>
          <c:showLegendKey val="0"/>
          <c:showVal val="0"/>
          <c:showCatName val="0"/>
          <c:showSerName val="0"/>
          <c:showPercent val="0"/>
          <c:showBubbleSize val="0"/>
        </c:dLbls>
        <c:gapWidth val="150"/>
        <c:shape val="box"/>
        <c:axId val="452125440"/>
        <c:axId val="452126976"/>
        <c:axId val="0"/>
      </c:bar3DChart>
      <c:catAx>
        <c:axId val="452125440"/>
        <c:scaling>
          <c:orientation val="minMax"/>
        </c:scaling>
        <c:delete val="0"/>
        <c:axPos val="b"/>
        <c:numFmt formatCode="General" sourceLinked="1"/>
        <c:majorTickMark val="none"/>
        <c:minorTickMark val="none"/>
        <c:tickLblPos val="nextTo"/>
        <c:crossAx val="452126976"/>
        <c:crosses val="autoZero"/>
        <c:auto val="1"/>
        <c:lblAlgn val="ctr"/>
        <c:lblOffset val="100"/>
        <c:noMultiLvlLbl val="0"/>
      </c:catAx>
      <c:valAx>
        <c:axId val="452126976"/>
        <c:scaling>
          <c:orientation val="minMax"/>
        </c:scaling>
        <c:delete val="0"/>
        <c:axPos val="l"/>
        <c:majorGridlines/>
        <c:numFmt formatCode="0.00%" sourceLinked="1"/>
        <c:majorTickMark val="none"/>
        <c:minorTickMark val="none"/>
        <c:tickLblPos val="nextTo"/>
        <c:crossAx val="452125440"/>
        <c:crosses val="autoZero"/>
        <c:crossBetween val="between"/>
      </c:valAx>
      <c:dTable>
        <c:showHorzBorder val="1"/>
        <c:showVertBorder val="1"/>
        <c:showOutline val="1"/>
        <c:showKeys val="1"/>
        <c:txPr>
          <a:bodyPr/>
          <a:lstStyle/>
          <a:p>
            <a:pPr rtl="0">
              <a:defRPr sz="800"/>
            </a:pPr>
            <a:endParaRPr lang="zh-CN"/>
          </a:p>
        </c:txPr>
      </c:dTable>
      <c:spPr>
        <a:noFill/>
        <a:ln w="25400">
          <a:noFill/>
        </a:ln>
      </c:spPr>
    </c:plotArea>
    <c:plotVisOnly val="1"/>
    <c:dispBlanksAs val="gap"/>
    <c:showDLblsOverMax val="0"/>
  </c:chart>
  <c:txPr>
    <a:bodyPr/>
    <a:lstStyle/>
    <a:p>
      <a:pPr>
        <a:defRPr sz="800"/>
      </a:pPr>
      <a:endParaRPr lang="zh-CN"/>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46A132-4294-41A3-8F2F-E49F10AB3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19</Pages>
  <Words>974</Words>
  <Characters>5552</Characters>
  <Application>Microsoft Office Word</Application>
  <DocSecurity>0</DocSecurity>
  <Lines>46</Lines>
  <Paragraphs>13</Paragraphs>
  <ScaleCrop>false</ScaleCrop>
  <Company/>
  <LinksUpToDate>false</LinksUpToDate>
  <CharactersWithSpaces>6513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李晶晶</dc:creator>
  <cp:lastModifiedBy>李晶晶</cp:lastModifiedBy>
  <cp:revision>7</cp:revision>
  <dcterms:created xsi:type="dcterms:W3CDTF">2020-10-22T02:06:00Z</dcterms:created>
  <dcterms:modified xsi:type="dcterms:W3CDTF">2020-10-27T08:12:00Z</dcterms:modified>
</cp:coreProperties>
</file>