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6A" w:rsidRDefault="00CA539D" w:rsidP="00001AE5">
      <w:pPr>
        <w:jc w:val="center"/>
        <w:rPr>
          <w:rFonts w:asciiTheme="majorEastAsia" w:eastAsiaTheme="majorEastAsia" w:hAnsiTheme="majorEastAsia"/>
          <w:b/>
          <w:sz w:val="44"/>
          <w:szCs w:val="44"/>
        </w:rPr>
      </w:pPr>
      <w:r w:rsidRPr="00CA539D">
        <w:rPr>
          <w:rFonts w:asciiTheme="majorEastAsia" w:eastAsiaTheme="majorEastAsia" w:hAnsiTheme="majorEastAsia" w:hint="eastAsia"/>
          <w:b/>
          <w:sz w:val="44"/>
          <w:szCs w:val="44"/>
        </w:rPr>
        <w:t>20</w:t>
      </w:r>
      <w:r w:rsidR="00C66628">
        <w:rPr>
          <w:rFonts w:asciiTheme="majorEastAsia" w:eastAsiaTheme="majorEastAsia" w:hAnsiTheme="majorEastAsia" w:hint="eastAsia"/>
          <w:b/>
          <w:sz w:val="44"/>
          <w:szCs w:val="44"/>
        </w:rPr>
        <w:t>20</w:t>
      </w:r>
      <w:r w:rsidRPr="00CA539D">
        <w:rPr>
          <w:rFonts w:asciiTheme="majorEastAsia" w:eastAsiaTheme="majorEastAsia" w:hAnsiTheme="majorEastAsia" w:hint="eastAsia"/>
          <w:b/>
          <w:sz w:val="44"/>
          <w:szCs w:val="44"/>
        </w:rPr>
        <w:t>年</w:t>
      </w:r>
      <w:r w:rsidR="00703533">
        <w:rPr>
          <w:rFonts w:asciiTheme="majorEastAsia" w:eastAsiaTheme="majorEastAsia" w:hAnsiTheme="majorEastAsia" w:hint="eastAsia"/>
          <w:b/>
          <w:sz w:val="44"/>
          <w:szCs w:val="44"/>
        </w:rPr>
        <w:t>1-3季度</w:t>
      </w:r>
      <w:r w:rsidRPr="00CA539D">
        <w:rPr>
          <w:rFonts w:asciiTheme="majorEastAsia" w:eastAsiaTheme="majorEastAsia" w:hAnsiTheme="majorEastAsia" w:hint="eastAsia"/>
          <w:b/>
          <w:sz w:val="44"/>
          <w:szCs w:val="44"/>
        </w:rPr>
        <w:t>丹东市人身保险市场</w:t>
      </w:r>
    </w:p>
    <w:p w:rsidR="00CA539D" w:rsidRPr="00CA539D" w:rsidRDefault="00CA539D" w:rsidP="00001AE5">
      <w:pPr>
        <w:jc w:val="center"/>
        <w:rPr>
          <w:rFonts w:asciiTheme="majorEastAsia" w:eastAsiaTheme="majorEastAsia" w:hAnsiTheme="majorEastAsia"/>
          <w:b/>
          <w:sz w:val="44"/>
          <w:szCs w:val="44"/>
        </w:rPr>
      </w:pPr>
      <w:r w:rsidRPr="00CA539D">
        <w:rPr>
          <w:rFonts w:asciiTheme="majorEastAsia" w:eastAsiaTheme="majorEastAsia" w:hAnsiTheme="majorEastAsia" w:hint="eastAsia"/>
          <w:b/>
          <w:sz w:val="44"/>
          <w:szCs w:val="44"/>
        </w:rPr>
        <w:t>运行情况分析</w:t>
      </w:r>
    </w:p>
    <w:p w:rsidR="00CA539D" w:rsidRPr="00CA539D" w:rsidRDefault="00CA539D" w:rsidP="00CA539D">
      <w:pPr>
        <w:rPr>
          <w:rFonts w:asciiTheme="majorEastAsia" w:eastAsiaTheme="majorEastAsia" w:hAnsiTheme="majorEastAsia"/>
          <w:b/>
          <w:sz w:val="44"/>
          <w:szCs w:val="44"/>
        </w:rPr>
      </w:pPr>
    </w:p>
    <w:p w:rsidR="004248E6" w:rsidRPr="00CA539D" w:rsidRDefault="00CA539D" w:rsidP="00916A23">
      <w:pPr>
        <w:ind w:firstLineChars="200" w:firstLine="640"/>
        <w:rPr>
          <w:rFonts w:ascii="仿宋_GB2312" w:eastAsia="仿宋_GB2312"/>
          <w:sz w:val="32"/>
          <w:szCs w:val="32"/>
        </w:rPr>
      </w:pPr>
      <w:r w:rsidRPr="00CA539D">
        <w:rPr>
          <w:rFonts w:ascii="仿宋_GB2312" w:eastAsia="仿宋_GB2312" w:hAnsi="仿宋" w:hint="eastAsia"/>
          <w:sz w:val="32"/>
          <w:szCs w:val="32"/>
        </w:rPr>
        <w:t>20</w:t>
      </w:r>
      <w:r w:rsidR="00C66628">
        <w:rPr>
          <w:rFonts w:ascii="仿宋_GB2312" w:eastAsia="仿宋_GB2312" w:hAnsi="仿宋" w:hint="eastAsia"/>
          <w:sz w:val="32"/>
          <w:szCs w:val="32"/>
        </w:rPr>
        <w:t>20</w:t>
      </w:r>
      <w:r w:rsidRPr="00CA539D">
        <w:rPr>
          <w:rFonts w:ascii="仿宋_GB2312" w:eastAsia="仿宋_GB2312" w:hAnsi="仿宋" w:hint="eastAsia"/>
          <w:sz w:val="32"/>
          <w:szCs w:val="32"/>
        </w:rPr>
        <w:t>年</w:t>
      </w:r>
      <w:r w:rsidR="00FF29CC">
        <w:rPr>
          <w:rFonts w:ascii="仿宋_GB2312" w:eastAsia="仿宋_GB2312" w:hAnsi="仿宋" w:hint="eastAsia"/>
          <w:sz w:val="32"/>
          <w:szCs w:val="32"/>
        </w:rPr>
        <w:t>初</w:t>
      </w:r>
      <w:r w:rsidRPr="00CA539D">
        <w:rPr>
          <w:rFonts w:ascii="仿宋_GB2312" w:eastAsia="仿宋_GB2312" w:hAnsi="仿宋" w:hint="eastAsia"/>
          <w:sz w:val="32"/>
          <w:szCs w:val="32"/>
        </w:rPr>
        <w:t>，</w:t>
      </w:r>
      <w:bookmarkStart w:id="0" w:name="_GoBack"/>
      <w:bookmarkEnd w:id="0"/>
      <w:r w:rsidR="00C66628">
        <w:rPr>
          <w:rFonts w:ascii="仿宋_GB2312" w:eastAsia="仿宋_GB2312" w:hAnsi="仿宋" w:hint="eastAsia"/>
          <w:sz w:val="32"/>
          <w:szCs w:val="32"/>
        </w:rPr>
        <w:t>突如其来的新冠</w:t>
      </w:r>
      <w:r w:rsidR="00D60858">
        <w:rPr>
          <w:rFonts w:ascii="仿宋_GB2312" w:eastAsia="仿宋_GB2312" w:hAnsi="仿宋" w:hint="eastAsia"/>
          <w:sz w:val="32"/>
          <w:szCs w:val="32"/>
        </w:rPr>
        <w:t>病毒疫情席卷全国，对我国</w:t>
      </w:r>
      <w:r w:rsidR="00C66628">
        <w:rPr>
          <w:rFonts w:ascii="仿宋_GB2312" w:eastAsia="仿宋_GB2312" w:hAnsi="仿宋" w:hint="eastAsia"/>
          <w:sz w:val="32"/>
          <w:szCs w:val="32"/>
        </w:rPr>
        <w:t>社会</w:t>
      </w:r>
      <w:r w:rsidR="002636AB">
        <w:rPr>
          <w:rFonts w:ascii="仿宋_GB2312" w:eastAsia="仿宋_GB2312" w:hAnsi="仿宋" w:hint="eastAsia"/>
          <w:sz w:val="32"/>
          <w:szCs w:val="32"/>
        </w:rPr>
        <w:t>经济</w:t>
      </w:r>
      <w:r w:rsidR="00C66628">
        <w:rPr>
          <w:rFonts w:ascii="仿宋_GB2312" w:eastAsia="仿宋_GB2312" w:hAnsi="仿宋" w:hint="eastAsia"/>
          <w:sz w:val="32"/>
          <w:szCs w:val="32"/>
        </w:rPr>
        <w:t>生活带来了巨大影响，</w:t>
      </w:r>
      <w:r w:rsidRPr="00CA539D">
        <w:rPr>
          <w:rFonts w:ascii="仿宋_GB2312" w:eastAsia="仿宋_GB2312" w:hAnsi="仿宋" w:hint="eastAsia"/>
          <w:sz w:val="32"/>
          <w:szCs w:val="32"/>
        </w:rPr>
        <w:t>人身保险市场</w:t>
      </w:r>
      <w:r w:rsidR="00C66628">
        <w:rPr>
          <w:rFonts w:ascii="仿宋_GB2312" w:eastAsia="仿宋_GB2312" w:hAnsi="仿宋" w:hint="eastAsia"/>
          <w:sz w:val="32"/>
          <w:szCs w:val="32"/>
        </w:rPr>
        <w:t>也受到了</w:t>
      </w:r>
      <w:r w:rsidR="00D60858">
        <w:rPr>
          <w:rFonts w:ascii="仿宋_GB2312" w:eastAsia="仿宋_GB2312" w:hAnsi="仿宋" w:hint="eastAsia"/>
          <w:sz w:val="32"/>
          <w:szCs w:val="32"/>
        </w:rPr>
        <w:t>很</w:t>
      </w:r>
      <w:r w:rsidR="00C66628">
        <w:rPr>
          <w:rFonts w:ascii="仿宋_GB2312" w:eastAsia="仿宋_GB2312" w:hAnsi="仿宋" w:hint="eastAsia"/>
          <w:sz w:val="32"/>
          <w:szCs w:val="32"/>
        </w:rPr>
        <w:t>大冲击，</w:t>
      </w:r>
      <w:r w:rsidRPr="00CA539D">
        <w:rPr>
          <w:rFonts w:ascii="仿宋_GB2312" w:eastAsia="仿宋_GB2312" w:hAnsi="仿宋" w:hint="eastAsia"/>
          <w:sz w:val="32"/>
          <w:szCs w:val="32"/>
        </w:rPr>
        <w:t>在丹东银保监分局的正确领导下，</w:t>
      </w:r>
      <w:r w:rsidR="00637720" w:rsidRPr="00494BB5">
        <w:rPr>
          <w:rFonts w:ascii="仿宋_GB2312" w:eastAsia="仿宋_GB2312" w:hAnsi="仿宋" w:hint="eastAsia"/>
          <w:color w:val="000000" w:themeColor="text1"/>
          <w:sz w:val="32"/>
          <w:szCs w:val="32"/>
        </w:rPr>
        <w:t>丹东</w:t>
      </w:r>
      <w:r w:rsidR="00D60858">
        <w:rPr>
          <w:rFonts w:ascii="仿宋_GB2312" w:eastAsia="仿宋_GB2312" w:hAnsi="仿宋" w:hint="eastAsia"/>
          <w:color w:val="000000" w:themeColor="text1"/>
          <w:sz w:val="32"/>
          <w:szCs w:val="32"/>
        </w:rPr>
        <w:t>市</w:t>
      </w:r>
      <w:r w:rsidR="00494BB5">
        <w:rPr>
          <w:rFonts w:ascii="仿宋_GB2312" w:eastAsia="仿宋_GB2312" w:hAnsi="仿宋" w:hint="eastAsia"/>
          <w:color w:val="000000" w:themeColor="text1"/>
          <w:sz w:val="32"/>
          <w:szCs w:val="32"/>
        </w:rPr>
        <w:t>人身保险</w:t>
      </w:r>
      <w:r w:rsidR="00637720" w:rsidRPr="00494BB5">
        <w:rPr>
          <w:rFonts w:ascii="仿宋_GB2312" w:eastAsia="仿宋_GB2312" w:hAnsi="仿宋" w:hint="eastAsia"/>
          <w:color w:val="000000" w:themeColor="text1"/>
          <w:sz w:val="32"/>
          <w:szCs w:val="32"/>
        </w:rPr>
        <w:t>各会员公司</w:t>
      </w:r>
      <w:r w:rsidR="00C66628" w:rsidRPr="00494BB5">
        <w:rPr>
          <w:rFonts w:ascii="仿宋_GB2312" w:eastAsia="仿宋_GB2312" w:hAnsi="仿宋" w:hint="eastAsia"/>
          <w:color w:val="000000" w:themeColor="text1"/>
          <w:sz w:val="32"/>
          <w:szCs w:val="32"/>
        </w:rPr>
        <w:t>积极应对</w:t>
      </w:r>
      <w:r w:rsidR="00C66628">
        <w:rPr>
          <w:rFonts w:ascii="仿宋_GB2312" w:eastAsia="仿宋_GB2312" w:hAnsi="仿宋" w:hint="eastAsia"/>
          <w:sz w:val="32"/>
          <w:szCs w:val="32"/>
        </w:rPr>
        <w:t>，始终坚持以</w:t>
      </w:r>
      <w:r w:rsidRPr="00CA539D">
        <w:rPr>
          <w:rFonts w:ascii="仿宋_GB2312" w:eastAsia="仿宋_GB2312" w:hAnsi="仿宋" w:hint="eastAsia"/>
          <w:sz w:val="32"/>
          <w:szCs w:val="32"/>
        </w:rPr>
        <w:t>客户为中心的经营理念，</w:t>
      </w:r>
      <w:r w:rsidR="00C66628">
        <w:rPr>
          <w:rFonts w:ascii="仿宋_GB2312" w:eastAsia="仿宋_GB2312" w:hAnsi="仿宋" w:hint="eastAsia"/>
          <w:sz w:val="32"/>
          <w:szCs w:val="32"/>
        </w:rPr>
        <w:t>克服困难，努力拼搏，</w:t>
      </w:r>
      <w:r w:rsidRPr="00CA539D">
        <w:rPr>
          <w:rFonts w:ascii="仿宋_GB2312" w:eastAsia="仿宋_GB2312" w:hAnsi="仿宋" w:hint="eastAsia"/>
          <w:sz w:val="32"/>
          <w:szCs w:val="32"/>
        </w:rPr>
        <w:t>取得了</w:t>
      </w:r>
      <w:r w:rsidR="00C66628">
        <w:rPr>
          <w:rFonts w:ascii="仿宋_GB2312" w:eastAsia="仿宋_GB2312" w:hAnsi="仿宋" w:hint="eastAsia"/>
          <w:sz w:val="32"/>
          <w:szCs w:val="32"/>
        </w:rPr>
        <w:t>一定</w:t>
      </w:r>
      <w:r w:rsidRPr="00CA539D">
        <w:rPr>
          <w:rFonts w:ascii="仿宋_GB2312" w:eastAsia="仿宋_GB2312" w:hAnsi="仿宋" w:hint="eastAsia"/>
          <w:sz w:val="32"/>
          <w:szCs w:val="32"/>
        </w:rPr>
        <w:t>的工作</w:t>
      </w:r>
      <w:r w:rsidR="00DD56E2">
        <w:rPr>
          <w:rFonts w:ascii="仿宋_GB2312" w:eastAsia="仿宋_GB2312" w:hAnsi="仿宋" w:hint="eastAsia"/>
          <w:sz w:val="32"/>
          <w:szCs w:val="32"/>
        </w:rPr>
        <w:t>业</w:t>
      </w:r>
      <w:r w:rsidRPr="00CA539D">
        <w:rPr>
          <w:rFonts w:ascii="仿宋_GB2312" w:eastAsia="仿宋_GB2312" w:hAnsi="仿宋" w:hint="eastAsia"/>
          <w:sz w:val="32"/>
          <w:szCs w:val="32"/>
        </w:rPr>
        <w:t>绩</w:t>
      </w:r>
      <w:r w:rsidR="005F1C02">
        <w:rPr>
          <w:rFonts w:ascii="仿宋_GB2312" w:eastAsia="仿宋_GB2312" w:hAnsi="仿宋" w:hint="eastAsia"/>
          <w:sz w:val="32"/>
          <w:szCs w:val="32"/>
        </w:rPr>
        <w:t>。</w:t>
      </w:r>
      <w:r w:rsidR="00FF29CC">
        <w:rPr>
          <w:rFonts w:ascii="仿宋_GB2312" w:eastAsia="仿宋_GB2312" w:hAnsi="宋体" w:hint="eastAsia"/>
          <w:sz w:val="32"/>
          <w:szCs w:val="32"/>
        </w:rPr>
        <w:t>1-3季度</w:t>
      </w:r>
      <w:r w:rsidR="00D60858">
        <w:rPr>
          <w:rFonts w:ascii="仿宋_GB2312" w:eastAsia="仿宋_GB2312" w:hAnsi="宋体" w:hint="eastAsia"/>
          <w:sz w:val="32"/>
          <w:szCs w:val="32"/>
        </w:rPr>
        <w:t>我市人身</w:t>
      </w:r>
      <w:proofErr w:type="gramStart"/>
      <w:r w:rsidR="004248E6" w:rsidRPr="00CA539D">
        <w:rPr>
          <w:rFonts w:ascii="仿宋_GB2312" w:eastAsia="仿宋_GB2312" w:hAnsi="宋体" w:hint="eastAsia"/>
          <w:sz w:val="32"/>
          <w:szCs w:val="32"/>
        </w:rPr>
        <w:t>险机构</w:t>
      </w:r>
      <w:proofErr w:type="gramEnd"/>
      <w:r w:rsidR="004248E6" w:rsidRPr="00CA539D">
        <w:rPr>
          <w:rFonts w:ascii="仿宋_GB2312" w:eastAsia="仿宋_GB2312" w:hAnsi="宋体" w:hint="eastAsia"/>
          <w:sz w:val="32"/>
          <w:szCs w:val="32"/>
        </w:rPr>
        <w:t>累计实现保费收入</w:t>
      </w:r>
      <w:r w:rsidR="00FF29CC">
        <w:rPr>
          <w:rFonts w:ascii="仿宋_GB2312" w:eastAsia="仿宋_GB2312" w:hAnsi="宋体" w:hint="eastAsia"/>
          <w:sz w:val="32"/>
          <w:szCs w:val="32"/>
        </w:rPr>
        <w:t>326</w:t>
      </w:r>
      <w:r w:rsidR="004248E6" w:rsidRPr="00CA539D">
        <w:rPr>
          <w:rFonts w:ascii="仿宋_GB2312" w:eastAsia="仿宋_GB2312" w:hAnsi="宋体"/>
          <w:sz w:val="32"/>
          <w:szCs w:val="32"/>
        </w:rPr>
        <w:t>,</w:t>
      </w:r>
      <w:r w:rsidR="00FF29CC">
        <w:rPr>
          <w:rFonts w:ascii="仿宋_GB2312" w:eastAsia="仿宋_GB2312" w:hAnsi="宋体" w:hint="eastAsia"/>
          <w:sz w:val="32"/>
          <w:szCs w:val="32"/>
        </w:rPr>
        <w:t>938</w:t>
      </w:r>
      <w:r w:rsidR="004248E6" w:rsidRPr="00CA539D">
        <w:rPr>
          <w:rFonts w:ascii="仿宋_GB2312" w:eastAsia="仿宋_GB2312" w:hAnsi="宋体" w:hint="eastAsia"/>
          <w:sz w:val="32"/>
          <w:szCs w:val="32"/>
        </w:rPr>
        <w:t>万元，同比</w:t>
      </w:r>
      <w:r w:rsidR="000A5B53">
        <w:rPr>
          <w:rFonts w:ascii="仿宋_GB2312" w:eastAsia="仿宋_GB2312" w:hAnsi="宋体" w:hint="eastAsia"/>
          <w:sz w:val="32"/>
          <w:szCs w:val="32"/>
        </w:rPr>
        <w:t>增长</w:t>
      </w:r>
      <w:r w:rsidR="00FF29CC">
        <w:rPr>
          <w:rFonts w:ascii="仿宋_GB2312" w:eastAsia="仿宋_GB2312" w:hAnsi="宋体" w:hint="eastAsia"/>
          <w:sz w:val="32"/>
          <w:szCs w:val="32"/>
        </w:rPr>
        <w:t>3.5</w:t>
      </w:r>
      <w:r w:rsidR="004248E6" w:rsidRPr="00CA539D">
        <w:rPr>
          <w:rFonts w:ascii="仿宋_GB2312" w:eastAsia="仿宋_GB2312" w:hAnsi="宋体"/>
          <w:sz w:val="32"/>
          <w:szCs w:val="32"/>
        </w:rPr>
        <w:t>%</w:t>
      </w:r>
      <w:r w:rsidR="004248E6" w:rsidRPr="00CA539D">
        <w:rPr>
          <w:rFonts w:ascii="仿宋_GB2312" w:eastAsia="仿宋_GB2312" w:hAnsi="宋体" w:hint="eastAsia"/>
          <w:sz w:val="32"/>
          <w:szCs w:val="32"/>
        </w:rPr>
        <w:t>，</w:t>
      </w:r>
      <w:r w:rsidR="00FF29CC">
        <w:rPr>
          <w:rFonts w:ascii="仿宋_GB2312" w:eastAsia="仿宋_GB2312" w:hAnsi="宋体" w:hint="eastAsia"/>
          <w:sz w:val="32"/>
          <w:szCs w:val="32"/>
        </w:rPr>
        <w:t>低</w:t>
      </w:r>
      <w:r w:rsidR="004248E6" w:rsidRPr="00CA539D">
        <w:rPr>
          <w:rFonts w:ascii="仿宋_GB2312" w:eastAsia="仿宋_GB2312" w:hAnsi="宋体" w:hint="eastAsia"/>
          <w:sz w:val="32"/>
          <w:szCs w:val="32"/>
        </w:rPr>
        <w:t>于全省</w:t>
      </w:r>
      <w:r w:rsidR="00FF29CC">
        <w:rPr>
          <w:rFonts w:ascii="仿宋_GB2312" w:eastAsia="仿宋_GB2312" w:hAnsi="宋体" w:hint="eastAsia"/>
          <w:sz w:val="32"/>
          <w:szCs w:val="32"/>
        </w:rPr>
        <w:t>3.78</w:t>
      </w:r>
      <w:r w:rsidR="004248E6" w:rsidRPr="00CA539D">
        <w:rPr>
          <w:rFonts w:ascii="仿宋_GB2312" w:eastAsia="仿宋_GB2312" w:hAnsi="宋体"/>
          <w:sz w:val="32"/>
          <w:szCs w:val="32"/>
        </w:rPr>
        <w:t>%</w:t>
      </w:r>
      <w:r w:rsidR="00D60858">
        <w:rPr>
          <w:rFonts w:ascii="仿宋_GB2312" w:eastAsia="仿宋_GB2312" w:hAnsi="宋体" w:hint="eastAsia"/>
          <w:sz w:val="32"/>
          <w:szCs w:val="32"/>
        </w:rPr>
        <w:t>的平均增长速度，占全省保费收入规模</w:t>
      </w:r>
      <w:r w:rsidR="004248E6" w:rsidRPr="00CA539D">
        <w:rPr>
          <w:rFonts w:ascii="仿宋_GB2312" w:eastAsia="仿宋_GB2312" w:hAnsi="宋体"/>
          <w:sz w:val="32"/>
          <w:szCs w:val="32"/>
        </w:rPr>
        <w:t>6.</w:t>
      </w:r>
      <w:r w:rsidR="00FF29CC">
        <w:rPr>
          <w:rFonts w:ascii="仿宋_GB2312" w:eastAsia="仿宋_GB2312" w:hAnsi="宋体" w:hint="eastAsia"/>
          <w:sz w:val="32"/>
          <w:szCs w:val="32"/>
        </w:rPr>
        <w:t>1</w:t>
      </w:r>
      <w:r w:rsidR="004248E6" w:rsidRPr="00CA539D">
        <w:rPr>
          <w:rFonts w:ascii="仿宋_GB2312" w:eastAsia="仿宋_GB2312" w:hAnsi="宋体"/>
          <w:sz w:val="32"/>
          <w:szCs w:val="32"/>
        </w:rPr>
        <w:t>%</w:t>
      </w:r>
      <w:r w:rsidR="004248E6" w:rsidRPr="00CA539D">
        <w:rPr>
          <w:rFonts w:ascii="仿宋_GB2312" w:eastAsia="仿宋_GB2312" w:hAnsi="宋体" w:hint="eastAsia"/>
          <w:sz w:val="32"/>
          <w:szCs w:val="32"/>
        </w:rPr>
        <w:t>。</w:t>
      </w:r>
      <w:r w:rsidR="004248E6" w:rsidRPr="00CA539D">
        <w:rPr>
          <w:rFonts w:ascii="仿宋_GB2312" w:eastAsia="仿宋_GB2312" w:hAnsi="宋体"/>
          <w:sz w:val="32"/>
          <w:szCs w:val="32"/>
        </w:rPr>
        <w:t>20</w:t>
      </w:r>
      <w:r w:rsidR="004A206C">
        <w:rPr>
          <w:rFonts w:ascii="仿宋_GB2312" w:eastAsia="仿宋_GB2312" w:hAnsi="宋体" w:hint="eastAsia"/>
          <w:sz w:val="32"/>
          <w:szCs w:val="32"/>
        </w:rPr>
        <w:t>20</w:t>
      </w:r>
      <w:r w:rsidR="004248E6" w:rsidRPr="00CA539D">
        <w:rPr>
          <w:rFonts w:ascii="仿宋_GB2312" w:eastAsia="仿宋_GB2312" w:hAnsi="宋体" w:hint="eastAsia"/>
          <w:sz w:val="32"/>
          <w:szCs w:val="32"/>
        </w:rPr>
        <w:t>年</w:t>
      </w:r>
      <w:r w:rsidR="00FF29CC">
        <w:rPr>
          <w:rFonts w:ascii="仿宋_GB2312" w:eastAsia="仿宋_GB2312" w:hAnsi="宋体" w:hint="eastAsia"/>
          <w:sz w:val="32"/>
          <w:szCs w:val="32"/>
        </w:rPr>
        <w:t>1-3季度</w:t>
      </w:r>
      <w:r w:rsidR="004248E6" w:rsidRPr="00CA539D">
        <w:rPr>
          <w:rFonts w:ascii="仿宋_GB2312" w:eastAsia="仿宋_GB2312" w:hAnsi="宋体" w:hint="eastAsia"/>
          <w:sz w:val="32"/>
          <w:szCs w:val="32"/>
        </w:rPr>
        <w:t>完成新单保费</w:t>
      </w:r>
      <w:r w:rsidR="00FF29CC">
        <w:rPr>
          <w:rFonts w:ascii="仿宋_GB2312" w:eastAsia="仿宋_GB2312" w:hAnsi="宋体" w:hint="eastAsia"/>
          <w:sz w:val="32"/>
          <w:szCs w:val="32"/>
        </w:rPr>
        <w:t>109</w:t>
      </w:r>
      <w:r w:rsidR="004248E6" w:rsidRPr="00CA539D">
        <w:rPr>
          <w:rFonts w:ascii="仿宋_GB2312" w:eastAsia="仿宋_GB2312" w:hAnsi="宋体"/>
          <w:sz w:val="32"/>
          <w:szCs w:val="32"/>
        </w:rPr>
        <w:t>,</w:t>
      </w:r>
      <w:r w:rsidR="00FF29CC">
        <w:rPr>
          <w:rFonts w:ascii="仿宋_GB2312" w:eastAsia="仿宋_GB2312" w:hAnsi="宋体" w:hint="eastAsia"/>
          <w:sz w:val="32"/>
          <w:szCs w:val="32"/>
        </w:rPr>
        <w:t>309</w:t>
      </w:r>
      <w:r w:rsidR="004248E6" w:rsidRPr="00CA539D">
        <w:rPr>
          <w:rFonts w:ascii="仿宋_GB2312" w:eastAsia="仿宋_GB2312" w:hAnsi="宋体" w:hint="eastAsia"/>
          <w:sz w:val="32"/>
          <w:szCs w:val="32"/>
        </w:rPr>
        <w:t>万元，</w:t>
      </w:r>
      <w:r w:rsidR="004248E6">
        <w:rPr>
          <w:rFonts w:ascii="仿宋_GB2312" w:eastAsia="仿宋_GB2312" w:hAnsi="宋体" w:hint="eastAsia"/>
          <w:sz w:val="32"/>
          <w:szCs w:val="32"/>
        </w:rPr>
        <w:t>占总保费规模</w:t>
      </w:r>
      <w:r w:rsidR="00FF29CC">
        <w:rPr>
          <w:rFonts w:ascii="仿宋_GB2312" w:eastAsia="仿宋_GB2312" w:hAnsi="宋体" w:hint="eastAsia"/>
          <w:sz w:val="32"/>
          <w:szCs w:val="32"/>
        </w:rPr>
        <w:t>33.43</w:t>
      </w:r>
      <w:r w:rsidR="004248E6">
        <w:rPr>
          <w:rFonts w:ascii="仿宋_GB2312" w:eastAsia="仿宋_GB2312" w:hAnsi="宋体"/>
          <w:sz w:val="32"/>
          <w:szCs w:val="32"/>
        </w:rPr>
        <w:t>%</w:t>
      </w:r>
      <w:r w:rsidR="004248E6">
        <w:rPr>
          <w:rFonts w:ascii="仿宋_GB2312" w:eastAsia="仿宋_GB2312" w:hAnsi="宋体" w:hint="eastAsia"/>
          <w:sz w:val="32"/>
          <w:szCs w:val="32"/>
        </w:rPr>
        <w:t>，</w:t>
      </w:r>
      <w:r w:rsidR="004248E6" w:rsidRPr="00CA539D">
        <w:rPr>
          <w:rFonts w:ascii="仿宋_GB2312" w:eastAsia="仿宋_GB2312" w:hAnsi="宋体" w:hint="eastAsia"/>
          <w:sz w:val="32"/>
          <w:szCs w:val="32"/>
        </w:rPr>
        <w:t>同比下降</w:t>
      </w:r>
      <w:r w:rsidR="00FF29CC">
        <w:rPr>
          <w:rFonts w:ascii="仿宋_GB2312" w:eastAsia="仿宋_GB2312" w:hAnsi="宋体" w:hint="eastAsia"/>
          <w:sz w:val="32"/>
          <w:szCs w:val="32"/>
        </w:rPr>
        <w:t>9.63</w:t>
      </w:r>
      <w:r w:rsidR="004248E6" w:rsidRPr="00CA539D">
        <w:rPr>
          <w:rFonts w:ascii="仿宋_GB2312" w:eastAsia="仿宋_GB2312" w:hAnsi="宋体"/>
          <w:sz w:val="32"/>
          <w:szCs w:val="32"/>
        </w:rPr>
        <w:t>%</w:t>
      </w:r>
      <w:r w:rsidR="004248E6">
        <w:rPr>
          <w:rFonts w:ascii="仿宋_GB2312" w:eastAsia="仿宋_GB2312" w:hAnsi="宋体" w:hint="eastAsia"/>
          <w:sz w:val="32"/>
          <w:szCs w:val="32"/>
        </w:rPr>
        <w:t>；续期保费</w:t>
      </w:r>
      <w:r w:rsidR="00D60858">
        <w:rPr>
          <w:rFonts w:ascii="仿宋_GB2312" w:eastAsia="仿宋_GB2312" w:hAnsi="宋体" w:hint="eastAsia"/>
          <w:sz w:val="32"/>
          <w:szCs w:val="32"/>
        </w:rPr>
        <w:t>收入</w:t>
      </w:r>
      <w:r w:rsidR="00FF29CC">
        <w:rPr>
          <w:rFonts w:ascii="仿宋_GB2312" w:eastAsia="仿宋_GB2312" w:hAnsi="宋体" w:hint="eastAsia"/>
          <w:sz w:val="32"/>
          <w:szCs w:val="32"/>
        </w:rPr>
        <w:t>217</w:t>
      </w:r>
      <w:r w:rsidR="004248E6" w:rsidRPr="00CA539D">
        <w:rPr>
          <w:rFonts w:ascii="仿宋_GB2312" w:eastAsia="仿宋_GB2312" w:hAnsi="宋体"/>
          <w:sz w:val="32"/>
          <w:szCs w:val="32"/>
        </w:rPr>
        <w:t>,</w:t>
      </w:r>
      <w:r w:rsidR="00FF29CC">
        <w:rPr>
          <w:rFonts w:ascii="仿宋_GB2312" w:eastAsia="仿宋_GB2312" w:hAnsi="宋体" w:hint="eastAsia"/>
          <w:sz w:val="32"/>
          <w:szCs w:val="32"/>
        </w:rPr>
        <w:t>629</w:t>
      </w:r>
      <w:r w:rsidR="004248E6" w:rsidRPr="00CA539D">
        <w:rPr>
          <w:rFonts w:ascii="仿宋_GB2312" w:eastAsia="仿宋_GB2312" w:hAnsi="宋体" w:hint="eastAsia"/>
          <w:sz w:val="32"/>
          <w:szCs w:val="32"/>
        </w:rPr>
        <w:t>万元</w:t>
      </w:r>
      <w:r w:rsidR="004248E6">
        <w:rPr>
          <w:rFonts w:ascii="仿宋_GB2312" w:eastAsia="仿宋_GB2312" w:hAnsi="宋体" w:hint="eastAsia"/>
          <w:sz w:val="32"/>
          <w:szCs w:val="32"/>
        </w:rPr>
        <w:t>，占总保费规模</w:t>
      </w:r>
      <w:r w:rsidR="00FF29CC">
        <w:rPr>
          <w:rFonts w:ascii="仿宋_GB2312" w:eastAsia="仿宋_GB2312" w:hAnsi="宋体" w:hint="eastAsia"/>
          <w:sz w:val="32"/>
          <w:szCs w:val="32"/>
        </w:rPr>
        <w:t>66</w:t>
      </w:r>
      <w:r w:rsidR="007C2E4B">
        <w:rPr>
          <w:rFonts w:ascii="仿宋_GB2312" w:eastAsia="仿宋_GB2312" w:hAnsi="宋体" w:hint="eastAsia"/>
          <w:sz w:val="32"/>
          <w:szCs w:val="32"/>
        </w:rPr>
        <w:t>.57</w:t>
      </w:r>
      <w:r w:rsidR="004248E6">
        <w:rPr>
          <w:rFonts w:ascii="仿宋_GB2312" w:eastAsia="仿宋_GB2312" w:hAnsi="宋体"/>
          <w:sz w:val="32"/>
          <w:szCs w:val="32"/>
        </w:rPr>
        <w:t>%</w:t>
      </w:r>
      <w:r w:rsidR="004248E6">
        <w:rPr>
          <w:rFonts w:ascii="仿宋_GB2312" w:eastAsia="仿宋_GB2312" w:hAnsi="宋体" w:hint="eastAsia"/>
          <w:sz w:val="32"/>
          <w:szCs w:val="32"/>
        </w:rPr>
        <w:t>，同比增长</w:t>
      </w:r>
      <w:r w:rsidR="00F410D9">
        <w:rPr>
          <w:rFonts w:ascii="仿宋_GB2312" w:eastAsia="仿宋_GB2312" w:hAnsi="宋体" w:hint="eastAsia"/>
          <w:sz w:val="32"/>
          <w:szCs w:val="32"/>
        </w:rPr>
        <w:t>12.</w:t>
      </w:r>
      <w:r w:rsidR="00FF29CC">
        <w:rPr>
          <w:rFonts w:ascii="仿宋_GB2312" w:eastAsia="仿宋_GB2312" w:hAnsi="宋体" w:hint="eastAsia"/>
          <w:sz w:val="32"/>
          <w:szCs w:val="32"/>
        </w:rPr>
        <w:t>72</w:t>
      </w:r>
      <w:r w:rsidR="004248E6">
        <w:rPr>
          <w:rFonts w:ascii="仿宋_GB2312" w:eastAsia="仿宋_GB2312" w:hAnsi="宋体"/>
          <w:sz w:val="32"/>
          <w:szCs w:val="32"/>
        </w:rPr>
        <w:t>%</w:t>
      </w:r>
      <w:r w:rsidR="004248E6">
        <w:rPr>
          <w:rFonts w:ascii="仿宋_GB2312" w:eastAsia="仿宋_GB2312" w:hAnsi="宋体" w:hint="eastAsia"/>
          <w:sz w:val="32"/>
          <w:szCs w:val="32"/>
        </w:rPr>
        <w:t>；</w:t>
      </w:r>
      <w:proofErr w:type="gramStart"/>
      <w:r w:rsidR="004248E6">
        <w:rPr>
          <w:rFonts w:ascii="仿宋_GB2312" w:eastAsia="仿宋_GB2312" w:hAnsi="宋体" w:hint="eastAsia"/>
          <w:sz w:val="32"/>
          <w:szCs w:val="32"/>
        </w:rPr>
        <w:t>短险保费</w:t>
      </w:r>
      <w:proofErr w:type="gramEnd"/>
      <w:r w:rsidR="004248E6">
        <w:rPr>
          <w:rFonts w:ascii="仿宋_GB2312" w:eastAsia="仿宋_GB2312" w:hAnsi="宋体" w:hint="eastAsia"/>
          <w:sz w:val="32"/>
          <w:szCs w:val="32"/>
        </w:rPr>
        <w:t>（一年期）</w:t>
      </w:r>
      <w:r w:rsidR="00D60858">
        <w:rPr>
          <w:rFonts w:ascii="仿宋_GB2312" w:eastAsia="仿宋_GB2312" w:hAnsi="宋体" w:hint="eastAsia"/>
          <w:sz w:val="32"/>
          <w:szCs w:val="32"/>
        </w:rPr>
        <w:t>收入</w:t>
      </w:r>
      <w:r w:rsidR="00F00138">
        <w:rPr>
          <w:rFonts w:ascii="仿宋_GB2312" w:eastAsia="仿宋_GB2312" w:hAnsi="宋体" w:hint="eastAsia"/>
          <w:sz w:val="32"/>
          <w:szCs w:val="32"/>
        </w:rPr>
        <w:t>59</w:t>
      </w:r>
      <w:r w:rsidR="004248E6" w:rsidRPr="00CA539D">
        <w:rPr>
          <w:rFonts w:ascii="仿宋_GB2312" w:eastAsia="仿宋_GB2312" w:hAnsi="宋体"/>
          <w:sz w:val="32"/>
          <w:szCs w:val="32"/>
        </w:rPr>
        <w:t>,</w:t>
      </w:r>
      <w:r w:rsidR="00F353C7">
        <w:rPr>
          <w:rFonts w:ascii="仿宋_GB2312" w:eastAsia="仿宋_GB2312" w:hAnsi="宋体" w:hint="eastAsia"/>
          <w:sz w:val="32"/>
          <w:szCs w:val="32"/>
        </w:rPr>
        <w:t>6</w:t>
      </w:r>
      <w:r w:rsidR="00F00138">
        <w:rPr>
          <w:rFonts w:ascii="仿宋_GB2312" w:eastAsia="仿宋_GB2312" w:hAnsi="宋体" w:hint="eastAsia"/>
          <w:sz w:val="32"/>
          <w:szCs w:val="32"/>
        </w:rPr>
        <w:t>84</w:t>
      </w:r>
      <w:r w:rsidR="004248E6" w:rsidRPr="00CA539D">
        <w:rPr>
          <w:rFonts w:ascii="仿宋_GB2312" w:eastAsia="仿宋_GB2312" w:hAnsi="宋体" w:hint="eastAsia"/>
          <w:sz w:val="32"/>
          <w:szCs w:val="32"/>
        </w:rPr>
        <w:t>万元</w:t>
      </w:r>
      <w:r w:rsidR="004248E6">
        <w:rPr>
          <w:rFonts w:ascii="仿宋_GB2312" w:eastAsia="仿宋_GB2312" w:hAnsi="宋体" w:hint="eastAsia"/>
          <w:sz w:val="32"/>
          <w:szCs w:val="32"/>
        </w:rPr>
        <w:t>，占总保费规模</w:t>
      </w:r>
      <w:r w:rsidR="00F00138">
        <w:rPr>
          <w:rFonts w:ascii="仿宋_GB2312" w:eastAsia="仿宋_GB2312" w:hAnsi="宋体" w:hint="eastAsia"/>
          <w:sz w:val="32"/>
          <w:szCs w:val="32"/>
        </w:rPr>
        <w:t>18.</w:t>
      </w:r>
      <w:r w:rsidR="00F353C7">
        <w:rPr>
          <w:rFonts w:ascii="仿宋_GB2312" w:eastAsia="仿宋_GB2312" w:hAnsi="宋体" w:hint="eastAsia"/>
          <w:sz w:val="32"/>
          <w:szCs w:val="32"/>
        </w:rPr>
        <w:t>25</w:t>
      </w:r>
      <w:r w:rsidR="004248E6">
        <w:rPr>
          <w:rFonts w:ascii="仿宋_GB2312" w:eastAsia="仿宋_GB2312" w:hAnsi="宋体"/>
          <w:sz w:val="32"/>
          <w:szCs w:val="32"/>
        </w:rPr>
        <w:t>%</w:t>
      </w:r>
      <w:r w:rsidR="004248E6">
        <w:rPr>
          <w:rFonts w:ascii="仿宋_GB2312" w:eastAsia="仿宋_GB2312" w:hAnsi="宋体" w:hint="eastAsia"/>
          <w:sz w:val="32"/>
          <w:szCs w:val="32"/>
        </w:rPr>
        <w:t>，同比</w:t>
      </w:r>
      <w:r w:rsidR="009201A4">
        <w:rPr>
          <w:rFonts w:ascii="仿宋_GB2312" w:eastAsia="仿宋_GB2312" w:hAnsi="宋体" w:hint="eastAsia"/>
          <w:sz w:val="32"/>
          <w:szCs w:val="32"/>
        </w:rPr>
        <w:t>增长</w:t>
      </w:r>
      <w:r w:rsidR="00F353C7">
        <w:rPr>
          <w:rFonts w:ascii="仿宋_GB2312" w:eastAsia="仿宋_GB2312" w:hAnsi="宋体" w:hint="eastAsia"/>
          <w:sz w:val="32"/>
          <w:szCs w:val="32"/>
        </w:rPr>
        <w:t>29.93</w:t>
      </w:r>
      <w:r w:rsidR="004248E6">
        <w:rPr>
          <w:rFonts w:ascii="仿宋_GB2312" w:eastAsia="仿宋_GB2312" w:hAnsi="宋体"/>
          <w:sz w:val="32"/>
          <w:szCs w:val="32"/>
        </w:rPr>
        <w:t>%</w:t>
      </w:r>
      <w:r w:rsidR="004248E6" w:rsidRPr="00CA539D">
        <w:rPr>
          <w:rFonts w:ascii="仿宋_GB2312" w:eastAsia="仿宋_GB2312" w:hAnsi="宋体" w:hint="eastAsia"/>
          <w:sz w:val="32"/>
          <w:szCs w:val="32"/>
        </w:rPr>
        <w:t>。</w:t>
      </w:r>
      <w:r w:rsidR="004248E6" w:rsidRPr="00CA539D">
        <w:rPr>
          <w:rFonts w:ascii="仿宋_GB2312" w:eastAsia="仿宋_GB2312" w:hint="eastAsia"/>
          <w:sz w:val="32"/>
          <w:szCs w:val="32"/>
        </w:rPr>
        <w:t>赔（给）付</w:t>
      </w:r>
      <w:r w:rsidR="00D60858">
        <w:rPr>
          <w:rFonts w:ascii="仿宋_GB2312" w:eastAsia="仿宋_GB2312" w:hint="eastAsia"/>
          <w:sz w:val="32"/>
          <w:szCs w:val="32"/>
        </w:rPr>
        <w:t>支出</w:t>
      </w:r>
      <w:r w:rsidR="00E40365">
        <w:rPr>
          <w:rFonts w:ascii="仿宋_GB2312" w:eastAsia="仿宋_GB2312" w:hint="eastAsia"/>
          <w:sz w:val="32"/>
          <w:szCs w:val="32"/>
        </w:rPr>
        <w:t>87</w:t>
      </w:r>
      <w:r w:rsidR="004248E6" w:rsidRPr="00CA539D">
        <w:rPr>
          <w:rFonts w:ascii="仿宋_GB2312" w:eastAsia="仿宋_GB2312"/>
          <w:sz w:val="32"/>
          <w:szCs w:val="32"/>
        </w:rPr>
        <w:t>,</w:t>
      </w:r>
      <w:r w:rsidR="00E40365">
        <w:rPr>
          <w:rFonts w:ascii="仿宋_GB2312" w:eastAsia="仿宋_GB2312" w:hint="eastAsia"/>
          <w:sz w:val="32"/>
          <w:szCs w:val="32"/>
        </w:rPr>
        <w:t>978</w:t>
      </w:r>
      <w:r w:rsidR="004248E6" w:rsidRPr="00CA539D">
        <w:rPr>
          <w:rFonts w:ascii="仿宋_GB2312" w:eastAsia="仿宋_GB2312" w:hint="eastAsia"/>
          <w:sz w:val="32"/>
          <w:szCs w:val="32"/>
        </w:rPr>
        <w:t>件，赔（给）付支出金额</w:t>
      </w:r>
      <w:r w:rsidR="00E40365">
        <w:rPr>
          <w:rFonts w:ascii="仿宋_GB2312" w:eastAsia="仿宋_GB2312" w:hint="eastAsia"/>
          <w:sz w:val="32"/>
          <w:szCs w:val="32"/>
        </w:rPr>
        <w:t>59</w:t>
      </w:r>
      <w:r w:rsidR="004248E6" w:rsidRPr="00CA539D">
        <w:rPr>
          <w:rFonts w:ascii="仿宋_GB2312" w:eastAsia="仿宋_GB2312"/>
          <w:sz w:val="32"/>
          <w:szCs w:val="32"/>
        </w:rPr>
        <w:t>,</w:t>
      </w:r>
      <w:r w:rsidR="00E40365">
        <w:rPr>
          <w:rFonts w:ascii="仿宋_GB2312" w:eastAsia="仿宋_GB2312" w:hint="eastAsia"/>
          <w:sz w:val="32"/>
          <w:szCs w:val="32"/>
        </w:rPr>
        <w:t>136</w:t>
      </w:r>
      <w:r w:rsidR="004248E6" w:rsidRPr="00CA539D">
        <w:rPr>
          <w:rFonts w:ascii="仿宋_GB2312" w:eastAsia="仿宋_GB2312" w:hint="eastAsia"/>
          <w:sz w:val="32"/>
          <w:szCs w:val="32"/>
        </w:rPr>
        <w:t>万元，同比下降</w:t>
      </w:r>
      <w:r w:rsidR="00E40365">
        <w:rPr>
          <w:rFonts w:ascii="仿宋_GB2312" w:eastAsia="仿宋_GB2312" w:hint="eastAsia"/>
          <w:sz w:val="32"/>
          <w:szCs w:val="32"/>
        </w:rPr>
        <w:t>0.43</w:t>
      </w:r>
      <w:r w:rsidR="004248E6" w:rsidRPr="00CA539D">
        <w:rPr>
          <w:rFonts w:ascii="仿宋_GB2312" w:eastAsia="仿宋_GB2312"/>
          <w:sz w:val="32"/>
          <w:szCs w:val="32"/>
        </w:rPr>
        <w:t>%</w:t>
      </w:r>
      <w:r w:rsidR="004248E6" w:rsidRPr="00CA539D">
        <w:rPr>
          <w:rFonts w:ascii="仿宋_GB2312" w:eastAsia="仿宋_GB2312" w:hint="eastAsia"/>
          <w:sz w:val="32"/>
          <w:szCs w:val="32"/>
        </w:rPr>
        <w:t>。</w:t>
      </w:r>
    </w:p>
    <w:p w:rsidR="00CA539D" w:rsidRPr="00CA539D" w:rsidRDefault="00916A23" w:rsidP="00CA539D">
      <w:pPr>
        <w:ind w:firstLineChars="200" w:firstLine="640"/>
        <w:rPr>
          <w:rFonts w:ascii="黑体" w:eastAsia="黑体" w:hAnsi="宋体"/>
          <w:sz w:val="32"/>
          <w:szCs w:val="32"/>
        </w:rPr>
      </w:pPr>
      <w:r>
        <w:rPr>
          <w:rFonts w:ascii="黑体" w:eastAsia="黑体" w:hAnsi="宋体" w:hint="eastAsia"/>
          <w:sz w:val="32"/>
          <w:szCs w:val="32"/>
        </w:rPr>
        <w:t>一</w:t>
      </w:r>
      <w:r w:rsidR="00CA539D" w:rsidRPr="00CA539D">
        <w:rPr>
          <w:rFonts w:ascii="黑体" w:eastAsia="黑体" w:hAnsi="宋体" w:hint="eastAsia"/>
          <w:sz w:val="32"/>
          <w:szCs w:val="32"/>
        </w:rPr>
        <w:t>、</w:t>
      </w:r>
      <w:r>
        <w:rPr>
          <w:rFonts w:ascii="黑体" w:eastAsia="黑体" w:hAnsi="宋体" w:hint="eastAsia"/>
          <w:sz w:val="32"/>
          <w:szCs w:val="32"/>
        </w:rPr>
        <w:t>具体情况分析</w:t>
      </w:r>
    </w:p>
    <w:p w:rsidR="00CA539D" w:rsidRDefault="00CA539D" w:rsidP="00CA539D">
      <w:pPr>
        <w:ind w:firstLineChars="200" w:firstLine="643"/>
        <w:rPr>
          <w:rFonts w:ascii="楷体_GB2312" w:eastAsia="楷体_GB2312" w:hAnsi="宋体"/>
          <w:b/>
          <w:sz w:val="32"/>
          <w:szCs w:val="32"/>
        </w:rPr>
      </w:pPr>
      <w:r w:rsidRPr="00CA539D">
        <w:rPr>
          <w:rFonts w:ascii="楷体_GB2312" w:eastAsia="楷体_GB2312" w:hAnsi="宋体" w:hint="eastAsia"/>
          <w:b/>
          <w:sz w:val="32"/>
          <w:szCs w:val="32"/>
        </w:rPr>
        <w:t>（一）业务增速</w:t>
      </w:r>
    </w:p>
    <w:p w:rsidR="00B7214F" w:rsidRPr="00CA539D" w:rsidRDefault="00B7214F" w:rsidP="00B7214F">
      <w:pPr>
        <w:ind w:rightChars="-364" w:right="-764" w:firstLineChars="202" w:firstLine="649"/>
        <w:rPr>
          <w:rFonts w:ascii="仿宋_GB2312" w:eastAsia="仿宋_GB2312" w:hAnsi="宋体"/>
          <w:b/>
          <w:sz w:val="32"/>
          <w:szCs w:val="32"/>
        </w:rPr>
      </w:pPr>
      <w:r w:rsidRPr="00CA539D">
        <w:rPr>
          <w:rFonts w:ascii="仿宋_GB2312" w:eastAsia="仿宋_GB2312" w:hAnsi="宋体" w:hint="eastAsia"/>
          <w:b/>
          <w:sz w:val="32"/>
          <w:szCs w:val="32"/>
        </w:rPr>
        <w:t>1.保费</w:t>
      </w:r>
      <w:r>
        <w:rPr>
          <w:rFonts w:ascii="仿宋_GB2312" w:eastAsia="仿宋_GB2312" w:hAnsi="宋体" w:hint="eastAsia"/>
          <w:b/>
          <w:sz w:val="32"/>
          <w:szCs w:val="32"/>
        </w:rPr>
        <w:t>总额</w:t>
      </w:r>
    </w:p>
    <w:p w:rsidR="00E53172" w:rsidRPr="00E53172" w:rsidRDefault="00CA539D" w:rsidP="00D60858">
      <w:pPr>
        <w:pStyle w:val="a6"/>
        <w:spacing w:before="0" w:beforeAutospacing="0" w:after="0" w:afterAutospacing="0"/>
        <w:ind w:firstLineChars="200" w:firstLine="640"/>
        <w:rPr>
          <w:rFonts w:ascii="仿宋" w:eastAsia="仿宋" w:hAnsi="仿宋"/>
          <w:sz w:val="32"/>
          <w:szCs w:val="32"/>
        </w:rPr>
      </w:pPr>
      <w:r w:rsidRPr="00CA539D">
        <w:rPr>
          <w:rFonts w:ascii="仿宋_GB2312" w:eastAsia="仿宋_GB2312" w:hint="eastAsia"/>
          <w:sz w:val="32"/>
          <w:szCs w:val="32"/>
        </w:rPr>
        <w:t>截至</w:t>
      </w:r>
      <w:r w:rsidR="004163C0">
        <w:rPr>
          <w:rFonts w:ascii="仿宋_GB2312" w:eastAsia="仿宋_GB2312" w:hint="eastAsia"/>
          <w:sz w:val="32"/>
          <w:szCs w:val="32"/>
        </w:rPr>
        <w:t>9</w:t>
      </w:r>
      <w:r w:rsidRPr="00CA539D">
        <w:rPr>
          <w:rFonts w:ascii="仿宋_GB2312" w:eastAsia="仿宋_GB2312" w:hint="eastAsia"/>
          <w:sz w:val="32"/>
          <w:szCs w:val="32"/>
        </w:rPr>
        <w:t>月3</w:t>
      </w:r>
      <w:r w:rsidR="008E05A2">
        <w:rPr>
          <w:rFonts w:ascii="仿宋_GB2312" w:eastAsia="仿宋_GB2312" w:hint="eastAsia"/>
          <w:sz w:val="32"/>
          <w:szCs w:val="32"/>
        </w:rPr>
        <w:t>0</w:t>
      </w:r>
      <w:r w:rsidRPr="00CA539D">
        <w:rPr>
          <w:rFonts w:ascii="仿宋_GB2312" w:eastAsia="仿宋_GB2312" w:hint="eastAsia"/>
          <w:sz w:val="32"/>
          <w:szCs w:val="32"/>
        </w:rPr>
        <w:t>日，全市26家人身</w:t>
      </w:r>
      <w:proofErr w:type="gramStart"/>
      <w:r w:rsidRPr="00CA539D">
        <w:rPr>
          <w:rFonts w:ascii="仿宋_GB2312" w:eastAsia="仿宋_GB2312" w:hint="eastAsia"/>
          <w:sz w:val="32"/>
          <w:szCs w:val="32"/>
        </w:rPr>
        <w:t>险机构</w:t>
      </w:r>
      <w:proofErr w:type="gramEnd"/>
      <w:r w:rsidR="00DD264A">
        <w:rPr>
          <w:rFonts w:ascii="仿宋_GB2312" w:eastAsia="仿宋_GB2312" w:hint="eastAsia"/>
          <w:sz w:val="32"/>
          <w:szCs w:val="32"/>
        </w:rPr>
        <w:t>1</w:t>
      </w:r>
      <w:r w:rsidR="002A158F">
        <w:rPr>
          <w:rFonts w:ascii="仿宋_GB2312" w:eastAsia="仿宋_GB2312" w:hint="eastAsia"/>
          <w:sz w:val="32"/>
          <w:szCs w:val="32"/>
        </w:rPr>
        <w:t>6</w:t>
      </w:r>
      <w:r w:rsidR="00D60858">
        <w:rPr>
          <w:rFonts w:ascii="仿宋_GB2312" w:eastAsia="仿宋_GB2312" w:hint="eastAsia"/>
          <w:sz w:val="32"/>
          <w:szCs w:val="32"/>
        </w:rPr>
        <w:t>家机构</w:t>
      </w:r>
      <w:proofErr w:type="gramStart"/>
      <w:r w:rsidRPr="00CA539D">
        <w:rPr>
          <w:rFonts w:ascii="仿宋_GB2312" w:eastAsia="仿宋_GB2312" w:hint="eastAsia"/>
          <w:sz w:val="32"/>
          <w:szCs w:val="32"/>
        </w:rPr>
        <w:t>保持正</w:t>
      </w:r>
      <w:proofErr w:type="gramEnd"/>
      <w:r w:rsidRPr="00CA539D">
        <w:rPr>
          <w:rFonts w:ascii="仿宋_GB2312" w:eastAsia="仿宋_GB2312" w:hint="eastAsia"/>
          <w:sz w:val="32"/>
          <w:szCs w:val="32"/>
        </w:rPr>
        <w:t>增长，增长超过</w:t>
      </w:r>
      <w:r w:rsidR="00467466">
        <w:rPr>
          <w:rFonts w:ascii="仿宋_GB2312" w:eastAsia="仿宋_GB2312" w:hint="eastAsia"/>
          <w:sz w:val="32"/>
          <w:szCs w:val="32"/>
        </w:rPr>
        <w:t>30</w:t>
      </w:r>
      <w:r w:rsidRPr="00CA539D">
        <w:rPr>
          <w:rFonts w:ascii="仿宋_GB2312" w:eastAsia="仿宋_GB2312" w:hint="eastAsia"/>
          <w:sz w:val="32"/>
          <w:szCs w:val="32"/>
        </w:rPr>
        <w:t>%的有</w:t>
      </w:r>
      <w:r w:rsidR="004163C0">
        <w:rPr>
          <w:rFonts w:ascii="仿宋_GB2312" w:eastAsia="仿宋_GB2312" w:hint="eastAsia"/>
          <w:sz w:val="32"/>
          <w:szCs w:val="32"/>
        </w:rPr>
        <w:t>4</w:t>
      </w:r>
      <w:r w:rsidRPr="00CA539D">
        <w:rPr>
          <w:rFonts w:ascii="仿宋_GB2312" w:eastAsia="仿宋_GB2312" w:hint="eastAsia"/>
          <w:sz w:val="32"/>
          <w:szCs w:val="32"/>
        </w:rPr>
        <w:t>家，其中：</w:t>
      </w:r>
      <w:r w:rsidR="002A158F">
        <w:rPr>
          <w:rFonts w:ascii="仿宋_GB2312" w:eastAsia="仿宋_GB2312" w:hint="eastAsia"/>
          <w:sz w:val="32"/>
          <w:szCs w:val="32"/>
        </w:rPr>
        <w:t>大家</w:t>
      </w:r>
      <w:r w:rsidR="00DD264A" w:rsidRPr="00CA539D">
        <w:rPr>
          <w:rFonts w:ascii="仿宋_GB2312" w:eastAsia="仿宋_GB2312" w:hint="eastAsia"/>
          <w:sz w:val="32"/>
          <w:szCs w:val="32"/>
        </w:rPr>
        <w:t>人寿</w:t>
      </w:r>
      <w:r w:rsidR="004163C0">
        <w:rPr>
          <w:rFonts w:ascii="仿宋_GB2312" w:eastAsia="仿宋_GB2312" w:hint="eastAsia"/>
          <w:sz w:val="32"/>
          <w:szCs w:val="32"/>
        </w:rPr>
        <w:t>461</w:t>
      </w:r>
      <w:r w:rsidR="00DD264A" w:rsidRPr="00CA539D">
        <w:rPr>
          <w:rFonts w:ascii="仿宋_GB2312" w:eastAsia="仿宋_GB2312" w:hint="eastAsia"/>
          <w:sz w:val="32"/>
          <w:szCs w:val="32"/>
        </w:rPr>
        <w:t>%、</w:t>
      </w:r>
      <w:r w:rsidR="002A158F">
        <w:rPr>
          <w:rFonts w:ascii="仿宋_GB2312" w:eastAsia="仿宋_GB2312" w:hint="eastAsia"/>
          <w:sz w:val="32"/>
          <w:szCs w:val="32"/>
        </w:rPr>
        <w:t>和谐健康</w:t>
      </w:r>
      <w:r w:rsidR="004163C0">
        <w:rPr>
          <w:rFonts w:ascii="仿宋_GB2312" w:eastAsia="仿宋_GB2312" w:hint="eastAsia"/>
          <w:sz w:val="32"/>
          <w:szCs w:val="32"/>
        </w:rPr>
        <w:t>189.29</w:t>
      </w:r>
      <w:r w:rsidRPr="00CA539D">
        <w:rPr>
          <w:rFonts w:ascii="仿宋_GB2312" w:eastAsia="仿宋_GB2312" w:hint="eastAsia"/>
          <w:sz w:val="32"/>
          <w:szCs w:val="32"/>
        </w:rPr>
        <w:t>%、</w:t>
      </w:r>
      <w:r w:rsidR="002A158F">
        <w:rPr>
          <w:rFonts w:ascii="仿宋_GB2312" w:eastAsia="仿宋_GB2312" w:hint="eastAsia"/>
          <w:sz w:val="32"/>
          <w:szCs w:val="32"/>
        </w:rPr>
        <w:t>合众人寿</w:t>
      </w:r>
      <w:r w:rsidR="004163C0">
        <w:rPr>
          <w:rFonts w:ascii="仿宋_GB2312" w:eastAsia="仿宋_GB2312" w:hint="eastAsia"/>
          <w:sz w:val="32"/>
          <w:szCs w:val="32"/>
        </w:rPr>
        <w:t>77.55</w:t>
      </w:r>
      <w:r w:rsidR="002A158F">
        <w:rPr>
          <w:rFonts w:ascii="仿宋_GB2312" w:eastAsia="仿宋_GB2312" w:hint="eastAsia"/>
          <w:sz w:val="32"/>
          <w:szCs w:val="32"/>
        </w:rPr>
        <w:t>%、</w:t>
      </w:r>
      <w:r w:rsidR="004163C0">
        <w:rPr>
          <w:rFonts w:ascii="仿宋_GB2312" w:eastAsia="仿宋_GB2312" w:hint="eastAsia"/>
          <w:sz w:val="32"/>
          <w:szCs w:val="32"/>
        </w:rPr>
        <w:t>英大泰和</w:t>
      </w:r>
      <w:r w:rsidR="00C822E0">
        <w:rPr>
          <w:rFonts w:ascii="仿宋_GB2312" w:eastAsia="仿宋_GB2312" w:hint="eastAsia"/>
          <w:sz w:val="32"/>
          <w:szCs w:val="32"/>
        </w:rPr>
        <w:t>人寿</w:t>
      </w:r>
      <w:r w:rsidR="004163C0">
        <w:rPr>
          <w:rFonts w:ascii="仿宋_GB2312" w:eastAsia="仿宋_GB2312" w:hint="eastAsia"/>
          <w:sz w:val="32"/>
          <w:szCs w:val="32"/>
        </w:rPr>
        <w:t>47.1</w:t>
      </w:r>
      <w:r w:rsidR="00C822E0">
        <w:rPr>
          <w:rFonts w:ascii="仿宋_GB2312" w:eastAsia="仿宋_GB2312" w:hint="eastAsia"/>
          <w:sz w:val="32"/>
          <w:szCs w:val="32"/>
        </w:rPr>
        <w:t>%</w:t>
      </w:r>
      <w:r w:rsidRPr="00CA539D">
        <w:rPr>
          <w:rFonts w:ascii="仿宋_GB2312" w:eastAsia="仿宋_GB2312" w:hint="eastAsia"/>
          <w:sz w:val="32"/>
          <w:szCs w:val="32"/>
        </w:rPr>
        <w:t>；</w:t>
      </w:r>
      <w:r w:rsidR="002A158F">
        <w:rPr>
          <w:rFonts w:ascii="仿宋_GB2312" w:eastAsia="仿宋_GB2312" w:hint="eastAsia"/>
          <w:sz w:val="32"/>
          <w:szCs w:val="32"/>
        </w:rPr>
        <w:lastRenderedPageBreak/>
        <w:t>10</w:t>
      </w:r>
      <w:r w:rsidRPr="00CA539D">
        <w:rPr>
          <w:rFonts w:ascii="仿宋_GB2312" w:eastAsia="仿宋_GB2312" w:hint="eastAsia"/>
          <w:sz w:val="32"/>
          <w:szCs w:val="32"/>
        </w:rPr>
        <w:t>家</w:t>
      </w:r>
      <w:r w:rsidR="00D60858">
        <w:rPr>
          <w:rFonts w:ascii="仿宋_GB2312" w:eastAsia="仿宋_GB2312" w:hint="eastAsia"/>
          <w:sz w:val="32"/>
          <w:szCs w:val="32"/>
        </w:rPr>
        <w:t>机构</w:t>
      </w:r>
      <w:r w:rsidRPr="00CA539D">
        <w:rPr>
          <w:rFonts w:ascii="仿宋_GB2312" w:eastAsia="仿宋_GB2312" w:hint="eastAsia"/>
          <w:sz w:val="32"/>
          <w:szCs w:val="32"/>
        </w:rPr>
        <w:t>业务出现下滑。</w:t>
      </w:r>
      <w:proofErr w:type="gramStart"/>
      <w:r w:rsidR="00D60858">
        <w:rPr>
          <w:rFonts w:ascii="仿宋" w:eastAsia="仿宋" w:hAnsi="仿宋" w:cstheme="minorBidi" w:hint="eastAsia"/>
          <w:color w:val="000000" w:themeColor="text1"/>
          <w:kern w:val="24"/>
          <w:sz w:val="32"/>
          <w:szCs w:val="32"/>
        </w:rPr>
        <w:t>个</w:t>
      </w:r>
      <w:proofErr w:type="gramEnd"/>
      <w:r w:rsidR="00D60858">
        <w:rPr>
          <w:rFonts w:ascii="仿宋" w:eastAsia="仿宋" w:hAnsi="仿宋" w:cstheme="minorBidi" w:hint="eastAsia"/>
          <w:color w:val="000000" w:themeColor="text1"/>
          <w:kern w:val="24"/>
          <w:sz w:val="32"/>
          <w:szCs w:val="32"/>
        </w:rPr>
        <w:t>险保费</w:t>
      </w:r>
      <w:r w:rsidR="00F81B16">
        <w:rPr>
          <w:rFonts w:ascii="仿宋" w:eastAsia="仿宋" w:hAnsi="仿宋" w:cstheme="minorBidi" w:hint="eastAsia"/>
          <w:color w:val="000000" w:themeColor="text1"/>
          <w:kern w:val="24"/>
          <w:sz w:val="32"/>
          <w:szCs w:val="32"/>
        </w:rPr>
        <w:t>增长</w:t>
      </w:r>
      <w:r w:rsidR="00CB277D" w:rsidRPr="00CB277D">
        <w:rPr>
          <w:rFonts w:ascii="仿宋" w:eastAsia="仿宋" w:hAnsi="仿宋" w:cstheme="minorBidi" w:hint="eastAsia"/>
          <w:color w:val="000000" w:themeColor="text1"/>
          <w:kern w:val="24"/>
          <w:sz w:val="32"/>
          <w:szCs w:val="32"/>
        </w:rPr>
        <w:t>是</w:t>
      </w:r>
      <w:r w:rsidR="00F81B16">
        <w:rPr>
          <w:rFonts w:ascii="仿宋" w:eastAsia="仿宋" w:hAnsi="仿宋" w:cstheme="minorBidi" w:hint="eastAsia"/>
          <w:color w:val="000000" w:themeColor="text1"/>
          <w:kern w:val="24"/>
          <w:sz w:val="32"/>
          <w:szCs w:val="32"/>
        </w:rPr>
        <w:t>拉动</w:t>
      </w:r>
      <w:r w:rsidR="00CB277D" w:rsidRPr="00CB277D">
        <w:rPr>
          <w:rFonts w:ascii="仿宋" w:eastAsia="仿宋" w:hAnsi="仿宋" w:cstheme="minorBidi" w:hint="eastAsia"/>
          <w:color w:val="000000" w:themeColor="text1"/>
          <w:kern w:val="24"/>
          <w:sz w:val="32"/>
          <w:szCs w:val="32"/>
        </w:rPr>
        <w:t>我市人身险</w:t>
      </w:r>
      <w:r w:rsidR="00D60858">
        <w:rPr>
          <w:rFonts w:ascii="仿宋" w:eastAsia="仿宋" w:hAnsi="仿宋" w:cstheme="minorBidi" w:hint="eastAsia"/>
          <w:color w:val="000000" w:themeColor="text1"/>
          <w:kern w:val="24"/>
          <w:sz w:val="32"/>
          <w:szCs w:val="32"/>
        </w:rPr>
        <w:t>总</w:t>
      </w:r>
      <w:r w:rsidR="00CB277D" w:rsidRPr="00CB277D">
        <w:rPr>
          <w:rFonts w:ascii="仿宋" w:eastAsia="仿宋" w:hAnsi="仿宋" w:cstheme="minorBidi" w:hint="eastAsia"/>
          <w:color w:val="000000" w:themeColor="text1"/>
          <w:kern w:val="24"/>
          <w:sz w:val="32"/>
          <w:szCs w:val="32"/>
        </w:rPr>
        <w:t>保费</w:t>
      </w:r>
      <w:r w:rsidR="00F81B16">
        <w:rPr>
          <w:rFonts w:ascii="仿宋" w:eastAsia="仿宋" w:hAnsi="仿宋" w:cstheme="minorBidi" w:hint="eastAsia"/>
          <w:color w:val="000000" w:themeColor="text1"/>
          <w:kern w:val="24"/>
          <w:sz w:val="32"/>
          <w:szCs w:val="32"/>
        </w:rPr>
        <w:t>增长</w:t>
      </w:r>
      <w:r w:rsidR="00CB277D" w:rsidRPr="00CB277D">
        <w:rPr>
          <w:rFonts w:ascii="仿宋" w:eastAsia="仿宋" w:hAnsi="仿宋" w:cstheme="minorBidi" w:hint="eastAsia"/>
          <w:color w:val="000000" w:themeColor="text1"/>
          <w:kern w:val="24"/>
          <w:sz w:val="32"/>
          <w:szCs w:val="32"/>
        </w:rPr>
        <w:t>的主要因素，</w:t>
      </w:r>
      <w:proofErr w:type="gramStart"/>
      <w:r w:rsidR="00CB277D" w:rsidRPr="00CB277D">
        <w:rPr>
          <w:rFonts w:ascii="仿宋" w:eastAsia="仿宋" w:hAnsi="仿宋" w:cstheme="minorBidi" w:hint="eastAsia"/>
          <w:color w:val="000000" w:themeColor="text1"/>
          <w:kern w:val="24"/>
          <w:sz w:val="32"/>
          <w:szCs w:val="32"/>
        </w:rPr>
        <w:t>个险渠道</w:t>
      </w:r>
      <w:proofErr w:type="gramEnd"/>
      <w:r w:rsidR="00CB277D" w:rsidRPr="00CB277D">
        <w:rPr>
          <w:rFonts w:ascii="仿宋" w:eastAsia="仿宋" w:hAnsi="仿宋" w:cstheme="minorBidi" w:hint="eastAsia"/>
          <w:color w:val="000000" w:themeColor="text1"/>
          <w:kern w:val="24"/>
          <w:sz w:val="32"/>
          <w:szCs w:val="32"/>
        </w:rPr>
        <w:t>保费</w:t>
      </w:r>
      <w:r w:rsidR="00D60858">
        <w:rPr>
          <w:rFonts w:ascii="仿宋" w:eastAsia="仿宋" w:hAnsi="仿宋" w:cstheme="minorBidi" w:hint="eastAsia"/>
          <w:color w:val="000000" w:themeColor="text1"/>
          <w:kern w:val="24"/>
          <w:sz w:val="32"/>
          <w:szCs w:val="32"/>
        </w:rPr>
        <w:t>收入</w:t>
      </w:r>
      <w:r w:rsidR="004163C0">
        <w:rPr>
          <w:rFonts w:ascii="仿宋" w:eastAsia="仿宋" w:hAnsi="仿宋" w:cstheme="minorBidi" w:hint="eastAsia"/>
          <w:color w:val="000000" w:themeColor="text1"/>
          <w:kern w:val="24"/>
          <w:sz w:val="32"/>
          <w:szCs w:val="32"/>
        </w:rPr>
        <w:t>222</w:t>
      </w:r>
      <w:r w:rsidR="00CB277D" w:rsidRPr="00CB277D">
        <w:rPr>
          <w:rFonts w:ascii="仿宋" w:eastAsia="仿宋" w:hAnsi="仿宋" w:cstheme="minorBidi"/>
          <w:color w:val="000000" w:themeColor="text1"/>
          <w:kern w:val="24"/>
          <w:sz w:val="32"/>
          <w:szCs w:val="32"/>
        </w:rPr>
        <w:t>,</w:t>
      </w:r>
      <w:r w:rsidR="004163C0">
        <w:rPr>
          <w:rFonts w:ascii="仿宋" w:eastAsia="仿宋" w:hAnsi="仿宋" w:cstheme="minorBidi" w:hint="eastAsia"/>
          <w:color w:val="000000" w:themeColor="text1"/>
          <w:kern w:val="24"/>
          <w:sz w:val="32"/>
          <w:szCs w:val="32"/>
        </w:rPr>
        <w:t>29</w:t>
      </w:r>
      <w:r w:rsidR="00AB6744">
        <w:rPr>
          <w:rFonts w:ascii="仿宋" w:eastAsia="仿宋" w:hAnsi="仿宋" w:cstheme="minorBidi" w:hint="eastAsia"/>
          <w:color w:val="000000" w:themeColor="text1"/>
          <w:kern w:val="24"/>
          <w:sz w:val="32"/>
          <w:szCs w:val="32"/>
        </w:rPr>
        <w:t>2</w:t>
      </w:r>
      <w:r w:rsidR="00CB277D" w:rsidRPr="00CB277D">
        <w:rPr>
          <w:rFonts w:ascii="仿宋" w:eastAsia="仿宋" w:hAnsi="仿宋" w:cstheme="minorBidi" w:hint="eastAsia"/>
          <w:color w:val="000000" w:themeColor="text1"/>
          <w:kern w:val="24"/>
          <w:sz w:val="32"/>
          <w:szCs w:val="32"/>
        </w:rPr>
        <w:t>万元，同比</w:t>
      </w:r>
      <w:r w:rsidR="005853F4">
        <w:rPr>
          <w:rFonts w:ascii="仿宋" w:eastAsia="仿宋" w:hAnsi="仿宋" w:cstheme="minorBidi" w:hint="eastAsia"/>
          <w:color w:val="000000" w:themeColor="text1"/>
          <w:kern w:val="24"/>
          <w:sz w:val="32"/>
          <w:szCs w:val="32"/>
        </w:rPr>
        <w:t>增加</w:t>
      </w:r>
      <w:r w:rsidR="004163C0">
        <w:rPr>
          <w:rFonts w:ascii="仿宋" w:eastAsia="仿宋" w:hAnsi="仿宋" w:cstheme="minorBidi" w:hint="eastAsia"/>
          <w:color w:val="000000" w:themeColor="text1"/>
          <w:kern w:val="24"/>
          <w:sz w:val="32"/>
          <w:szCs w:val="32"/>
        </w:rPr>
        <w:t>10</w:t>
      </w:r>
      <w:r w:rsidR="00CB277D" w:rsidRPr="00CB277D">
        <w:rPr>
          <w:rFonts w:ascii="仿宋" w:eastAsia="仿宋" w:hAnsi="仿宋" w:cstheme="minorBidi"/>
          <w:color w:val="000000" w:themeColor="text1"/>
          <w:kern w:val="24"/>
          <w:sz w:val="32"/>
          <w:szCs w:val="32"/>
        </w:rPr>
        <w:t>,</w:t>
      </w:r>
      <w:r w:rsidR="00AB6744">
        <w:rPr>
          <w:rFonts w:ascii="仿宋" w:eastAsia="仿宋" w:hAnsi="仿宋" w:cstheme="minorBidi" w:hint="eastAsia"/>
          <w:color w:val="000000" w:themeColor="text1"/>
          <w:kern w:val="24"/>
          <w:sz w:val="32"/>
          <w:szCs w:val="32"/>
        </w:rPr>
        <w:t>198</w:t>
      </w:r>
      <w:r w:rsidR="00CB277D" w:rsidRPr="00CB277D">
        <w:rPr>
          <w:rFonts w:ascii="仿宋" w:eastAsia="仿宋" w:hAnsi="仿宋" w:cstheme="minorBidi" w:hint="eastAsia"/>
          <w:color w:val="000000" w:themeColor="text1"/>
          <w:kern w:val="24"/>
          <w:sz w:val="32"/>
          <w:szCs w:val="32"/>
        </w:rPr>
        <w:t>万元，同比</w:t>
      </w:r>
      <w:r w:rsidR="005853F4">
        <w:rPr>
          <w:rFonts w:ascii="仿宋" w:eastAsia="仿宋" w:hAnsi="仿宋" w:cstheme="minorBidi" w:hint="eastAsia"/>
          <w:color w:val="000000" w:themeColor="text1"/>
          <w:kern w:val="24"/>
          <w:sz w:val="32"/>
          <w:szCs w:val="32"/>
        </w:rPr>
        <w:t>增长</w:t>
      </w:r>
      <w:r w:rsidR="004163C0">
        <w:rPr>
          <w:rFonts w:ascii="仿宋" w:eastAsia="仿宋" w:hAnsi="仿宋" w:cstheme="minorBidi" w:hint="eastAsia"/>
          <w:color w:val="000000" w:themeColor="text1"/>
          <w:kern w:val="24"/>
          <w:sz w:val="32"/>
          <w:szCs w:val="32"/>
        </w:rPr>
        <w:t>4.81</w:t>
      </w:r>
      <w:r w:rsidR="00CB277D" w:rsidRPr="00CB277D">
        <w:rPr>
          <w:rFonts w:ascii="仿宋" w:eastAsia="仿宋" w:hAnsi="仿宋" w:cstheme="minorBidi"/>
          <w:color w:val="000000" w:themeColor="text1"/>
          <w:kern w:val="24"/>
          <w:sz w:val="32"/>
          <w:szCs w:val="32"/>
        </w:rPr>
        <w:t>%</w:t>
      </w:r>
      <w:r w:rsidR="00CB277D">
        <w:rPr>
          <w:rFonts w:ascii="仿宋" w:eastAsia="仿宋" w:hAnsi="仿宋" w:cstheme="minorBidi" w:hint="eastAsia"/>
          <w:color w:val="000000" w:themeColor="text1"/>
          <w:kern w:val="24"/>
          <w:sz w:val="32"/>
          <w:szCs w:val="32"/>
        </w:rPr>
        <w:t>。</w:t>
      </w:r>
      <w:r w:rsidR="009B0B02">
        <w:rPr>
          <w:rFonts w:ascii="仿宋" w:eastAsia="仿宋" w:hAnsi="仿宋" w:cstheme="minorBidi" w:hint="eastAsia"/>
          <w:color w:val="000000" w:themeColor="text1"/>
          <w:kern w:val="24"/>
          <w:sz w:val="32"/>
          <w:szCs w:val="32"/>
        </w:rPr>
        <w:t>中国人寿</w:t>
      </w:r>
      <w:r w:rsidR="00E53172" w:rsidRPr="00E53172">
        <w:rPr>
          <w:rFonts w:ascii="仿宋" w:eastAsia="仿宋" w:hAnsi="仿宋" w:cstheme="minorBidi" w:hint="eastAsia"/>
          <w:color w:val="000000" w:themeColor="text1"/>
          <w:kern w:val="24"/>
          <w:sz w:val="32"/>
          <w:szCs w:val="32"/>
        </w:rPr>
        <w:t>、</w:t>
      </w:r>
      <w:r w:rsidR="009B0B02">
        <w:rPr>
          <w:rFonts w:ascii="仿宋" w:eastAsia="仿宋" w:hAnsi="仿宋" w:cstheme="minorBidi" w:hint="eastAsia"/>
          <w:color w:val="000000" w:themeColor="text1"/>
          <w:kern w:val="24"/>
          <w:sz w:val="32"/>
          <w:szCs w:val="32"/>
        </w:rPr>
        <w:t>合众人寿</w:t>
      </w:r>
      <w:r w:rsidR="00E53172" w:rsidRPr="00E53172">
        <w:rPr>
          <w:rFonts w:ascii="仿宋" w:eastAsia="仿宋" w:hAnsi="仿宋" w:cstheme="minorBidi" w:hint="eastAsia"/>
          <w:color w:val="000000" w:themeColor="text1"/>
          <w:kern w:val="24"/>
          <w:sz w:val="32"/>
          <w:szCs w:val="32"/>
        </w:rPr>
        <w:t>的</w:t>
      </w:r>
      <w:proofErr w:type="gramStart"/>
      <w:r w:rsidR="00E53172" w:rsidRPr="00E53172">
        <w:rPr>
          <w:rFonts w:ascii="仿宋" w:eastAsia="仿宋" w:hAnsi="仿宋" w:cstheme="minorBidi" w:hint="eastAsia"/>
          <w:color w:val="000000" w:themeColor="text1"/>
          <w:kern w:val="24"/>
          <w:sz w:val="32"/>
          <w:szCs w:val="32"/>
        </w:rPr>
        <w:t>个</w:t>
      </w:r>
      <w:proofErr w:type="gramEnd"/>
      <w:r w:rsidR="00E53172" w:rsidRPr="00E53172">
        <w:rPr>
          <w:rFonts w:ascii="仿宋" w:eastAsia="仿宋" w:hAnsi="仿宋" w:cstheme="minorBidi" w:hint="eastAsia"/>
          <w:color w:val="000000" w:themeColor="text1"/>
          <w:kern w:val="24"/>
          <w:sz w:val="32"/>
          <w:szCs w:val="32"/>
        </w:rPr>
        <w:t>险保费</w:t>
      </w:r>
      <w:r w:rsidR="00D60858">
        <w:rPr>
          <w:rFonts w:ascii="仿宋" w:eastAsia="仿宋" w:hAnsi="仿宋" w:cstheme="minorBidi" w:hint="eastAsia"/>
          <w:color w:val="000000" w:themeColor="text1"/>
          <w:kern w:val="24"/>
          <w:sz w:val="32"/>
          <w:szCs w:val="32"/>
        </w:rPr>
        <w:t>收入</w:t>
      </w:r>
      <w:r w:rsidR="00E53172" w:rsidRPr="00E53172">
        <w:rPr>
          <w:rFonts w:ascii="仿宋" w:eastAsia="仿宋" w:hAnsi="仿宋" w:cstheme="minorBidi" w:hint="eastAsia"/>
          <w:color w:val="000000" w:themeColor="text1"/>
          <w:kern w:val="24"/>
          <w:sz w:val="32"/>
          <w:szCs w:val="32"/>
        </w:rPr>
        <w:t>同比</w:t>
      </w:r>
      <w:r w:rsidR="009B0B02">
        <w:rPr>
          <w:rFonts w:ascii="仿宋" w:eastAsia="仿宋" w:hAnsi="仿宋" w:cstheme="minorBidi" w:hint="eastAsia"/>
          <w:color w:val="000000" w:themeColor="text1"/>
          <w:kern w:val="24"/>
          <w:sz w:val="32"/>
          <w:szCs w:val="32"/>
        </w:rPr>
        <w:t>增加</w:t>
      </w:r>
      <w:r w:rsidR="004F7537">
        <w:rPr>
          <w:rFonts w:ascii="仿宋" w:eastAsia="仿宋" w:hAnsi="仿宋" w:cstheme="minorBidi" w:hint="eastAsia"/>
          <w:color w:val="000000" w:themeColor="text1"/>
          <w:kern w:val="24"/>
          <w:sz w:val="32"/>
          <w:szCs w:val="32"/>
        </w:rPr>
        <w:t>6</w:t>
      </w:r>
      <w:r w:rsidR="00180F85">
        <w:rPr>
          <w:rFonts w:ascii="仿宋" w:eastAsia="仿宋" w:hAnsi="仿宋" w:cstheme="minorBidi" w:hint="eastAsia"/>
          <w:color w:val="000000" w:themeColor="text1"/>
          <w:kern w:val="24"/>
          <w:sz w:val="32"/>
          <w:szCs w:val="32"/>
        </w:rPr>
        <w:t>,</w:t>
      </w:r>
      <w:r w:rsidR="004F7537">
        <w:rPr>
          <w:rFonts w:ascii="仿宋" w:eastAsia="仿宋" w:hAnsi="仿宋" w:cstheme="minorBidi" w:hint="eastAsia"/>
          <w:color w:val="000000" w:themeColor="text1"/>
          <w:kern w:val="24"/>
          <w:sz w:val="32"/>
          <w:szCs w:val="32"/>
        </w:rPr>
        <w:t>592</w:t>
      </w:r>
      <w:r w:rsidR="00E53172" w:rsidRPr="00E53172">
        <w:rPr>
          <w:rFonts w:ascii="仿宋" w:eastAsia="仿宋" w:hAnsi="仿宋" w:cstheme="minorBidi" w:hint="eastAsia"/>
          <w:color w:val="000000" w:themeColor="text1"/>
          <w:kern w:val="24"/>
          <w:sz w:val="32"/>
          <w:szCs w:val="32"/>
        </w:rPr>
        <w:t>万元和</w:t>
      </w:r>
      <w:r w:rsidR="004F7537">
        <w:rPr>
          <w:rFonts w:ascii="仿宋" w:eastAsia="仿宋" w:hAnsi="仿宋" w:cstheme="minorBidi" w:hint="eastAsia"/>
          <w:color w:val="000000" w:themeColor="text1"/>
          <w:kern w:val="24"/>
          <w:sz w:val="32"/>
          <w:szCs w:val="32"/>
        </w:rPr>
        <w:t>3</w:t>
      </w:r>
      <w:r w:rsidR="00180F85">
        <w:rPr>
          <w:rFonts w:ascii="仿宋" w:eastAsia="仿宋" w:hAnsi="仿宋" w:cstheme="minorBidi" w:hint="eastAsia"/>
          <w:color w:val="000000" w:themeColor="text1"/>
          <w:kern w:val="24"/>
          <w:sz w:val="32"/>
          <w:szCs w:val="32"/>
        </w:rPr>
        <w:t>,</w:t>
      </w:r>
      <w:r w:rsidR="004F7537">
        <w:rPr>
          <w:rFonts w:ascii="仿宋" w:eastAsia="仿宋" w:hAnsi="仿宋" w:cstheme="minorBidi" w:hint="eastAsia"/>
          <w:color w:val="000000" w:themeColor="text1"/>
          <w:kern w:val="24"/>
          <w:sz w:val="32"/>
          <w:szCs w:val="32"/>
        </w:rPr>
        <w:t>673</w:t>
      </w:r>
      <w:r w:rsidR="00E53172" w:rsidRPr="00E53172">
        <w:rPr>
          <w:rFonts w:ascii="仿宋" w:eastAsia="仿宋" w:hAnsi="仿宋" w:cstheme="minorBidi" w:hint="eastAsia"/>
          <w:color w:val="000000" w:themeColor="text1"/>
          <w:kern w:val="24"/>
          <w:sz w:val="32"/>
          <w:szCs w:val="32"/>
        </w:rPr>
        <w:t>万元，分别</w:t>
      </w:r>
      <w:r w:rsidR="009B0B02">
        <w:rPr>
          <w:rFonts w:ascii="仿宋" w:eastAsia="仿宋" w:hAnsi="仿宋" w:cstheme="minorBidi" w:hint="eastAsia"/>
          <w:color w:val="000000" w:themeColor="text1"/>
          <w:kern w:val="24"/>
          <w:sz w:val="32"/>
          <w:szCs w:val="32"/>
        </w:rPr>
        <w:t>增长</w:t>
      </w:r>
      <w:r w:rsidR="004F7537">
        <w:rPr>
          <w:rFonts w:ascii="仿宋" w:eastAsia="仿宋" w:hAnsi="仿宋" w:cstheme="minorBidi" w:hint="eastAsia"/>
          <w:color w:val="000000" w:themeColor="text1"/>
          <w:kern w:val="24"/>
          <w:sz w:val="32"/>
          <w:szCs w:val="32"/>
        </w:rPr>
        <w:t>12.13</w:t>
      </w:r>
      <w:r w:rsidR="00E53172" w:rsidRPr="00E53172">
        <w:rPr>
          <w:rFonts w:ascii="仿宋" w:eastAsia="仿宋" w:hAnsi="仿宋" w:cstheme="minorBidi"/>
          <w:color w:val="000000" w:themeColor="text1"/>
          <w:kern w:val="24"/>
          <w:sz w:val="32"/>
          <w:szCs w:val="32"/>
        </w:rPr>
        <w:t>%</w:t>
      </w:r>
      <w:r w:rsidR="00E53172" w:rsidRPr="00E53172">
        <w:rPr>
          <w:rFonts w:ascii="仿宋" w:eastAsia="仿宋" w:hAnsi="仿宋" w:cstheme="minorBidi" w:hint="eastAsia"/>
          <w:color w:val="000000" w:themeColor="text1"/>
          <w:kern w:val="24"/>
          <w:sz w:val="32"/>
          <w:szCs w:val="32"/>
        </w:rPr>
        <w:t>和</w:t>
      </w:r>
      <w:r w:rsidR="004F7537">
        <w:rPr>
          <w:rFonts w:ascii="仿宋" w:eastAsia="仿宋" w:hAnsi="仿宋" w:cstheme="minorBidi" w:hint="eastAsia"/>
          <w:color w:val="000000" w:themeColor="text1"/>
          <w:kern w:val="24"/>
          <w:sz w:val="32"/>
          <w:szCs w:val="32"/>
        </w:rPr>
        <w:t>84.81</w:t>
      </w:r>
      <w:r w:rsidR="00E53172" w:rsidRPr="00E53172">
        <w:rPr>
          <w:rFonts w:ascii="仿宋" w:eastAsia="仿宋" w:hAnsi="仿宋" w:cstheme="minorBidi"/>
          <w:color w:val="000000" w:themeColor="text1"/>
          <w:kern w:val="24"/>
          <w:sz w:val="32"/>
          <w:szCs w:val="32"/>
        </w:rPr>
        <w:t>%</w:t>
      </w:r>
      <w:r w:rsidR="00E53172" w:rsidRPr="00E53172">
        <w:rPr>
          <w:rFonts w:ascii="仿宋" w:eastAsia="仿宋" w:hAnsi="仿宋" w:cstheme="minorBidi" w:hint="eastAsia"/>
          <w:color w:val="000000" w:themeColor="text1"/>
          <w:kern w:val="24"/>
          <w:sz w:val="32"/>
          <w:szCs w:val="32"/>
        </w:rPr>
        <w:t>，是</w:t>
      </w:r>
      <w:r w:rsidR="00F70AC3">
        <w:rPr>
          <w:rFonts w:ascii="仿宋" w:eastAsia="仿宋" w:hAnsi="仿宋" w:cstheme="minorBidi" w:hint="eastAsia"/>
          <w:color w:val="000000" w:themeColor="text1"/>
          <w:kern w:val="24"/>
          <w:sz w:val="32"/>
          <w:szCs w:val="32"/>
        </w:rPr>
        <w:t>拉动</w:t>
      </w:r>
      <w:r w:rsidR="00E53172" w:rsidRPr="00E53172">
        <w:rPr>
          <w:rFonts w:ascii="仿宋" w:eastAsia="仿宋" w:hAnsi="仿宋" w:cstheme="minorBidi" w:hint="eastAsia"/>
          <w:color w:val="000000" w:themeColor="text1"/>
          <w:kern w:val="24"/>
          <w:sz w:val="32"/>
          <w:szCs w:val="32"/>
        </w:rPr>
        <w:t>丹东</w:t>
      </w:r>
      <w:proofErr w:type="gramStart"/>
      <w:r w:rsidR="00E53172" w:rsidRPr="00E53172">
        <w:rPr>
          <w:rFonts w:ascii="仿宋" w:eastAsia="仿宋" w:hAnsi="仿宋" w:cstheme="minorBidi" w:hint="eastAsia"/>
          <w:color w:val="000000" w:themeColor="text1"/>
          <w:kern w:val="24"/>
          <w:sz w:val="32"/>
          <w:szCs w:val="32"/>
        </w:rPr>
        <w:t>个</w:t>
      </w:r>
      <w:proofErr w:type="gramEnd"/>
      <w:r w:rsidR="00E53172" w:rsidRPr="00E53172">
        <w:rPr>
          <w:rFonts w:ascii="仿宋" w:eastAsia="仿宋" w:hAnsi="仿宋" w:cstheme="minorBidi" w:hint="eastAsia"/>
          <w:color w:val="000000" w:themeColor="text1"/>
          <w:kern w:val="24"/>
          <w:sz w:val="32"/>
          <w:szCs w:val="32"/>
        </w:rPr>
        <w:t>险保费</w:t>
      </w:r>
      <w:r w:rsidR="009B0B02">
        <w:rPr>
          <w:rFonts w:ascii="仿宋" w:eastAsia="仿宋" w:hAnsi="仿宋" w:cstheme="minorBidi" w:hint="eastAsia"/>
          <w:color w:val="000000" w:themeColor="text1"/>
          <w:kern w:val="24"/>
          <w:sz w:val="32"/>
          <w:szCs w:val="32"/>
        </w:rPr>
        <w:t>增长主力军</w:t>
      </w:r>
      <w:r w:rsidR="00E53172" w:rsidRPr="00E53172">
        <w:rPr>
          <w:rFonts w:ascii="仿宋" w:eastAsia="仿宋" w:hAnsi="仿宋" w:cstheme="minorBidi" w:hint="eastAsia"/>
          <w:color w:val="000000" w:themeColor="text1"/>
          <w:kern w:val="24"/>
          <w:sz w:val="32"/>
          <w:szCs w:val="32"/>
        </w:rPr>
        <w:t>。</w:t>
      </w:r>
    </w:p>
    <w:p w:rsidR="00CA539D" w:rsidRPr="00CA539D" w:rsidRDefault="00AC42B8" w:rsidP="00AC42B8">
      <w:pPr>
        <w:ind w:leftChars="-405" w:left="72" w:hangingChars="439" w:hanging="922"/>
        <w:rPr>
          <w:rFonts w:ascii="仿宋_GB2312" w:eastAsia="仿宋_GB2312" w:hAnsi="宋体"/>
          <w:sz w:val="32"/>
          <w:szCs w:val="32"/>
        </w:rPr>
      </w:pPr>
      <w:r>
        <w:rPr>
          <w:noProof/>
        </w:rPr>
        <w:drawing>
          <wp:inline distT="0" distB="0" distL="0" distR="0" wp14:anchorId="643E3477" wp14:editId="6165D94A">
            <wp:extent cx="6429375" cy="3305175"/>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48E6" w:rsidRDefault="004248E6" w:rsidP="004248E6">
      <w:pPr>
        <w:ind w:firstLineChars="200" w:firstLine="640"/>
        <w:rPr>
          <w:rFonts w:ascii="仿宋_GB2312" w:eastAsia="仿宋_GB2312" w:hAnsi="仿宋"/>
          <w:kern w:val="24"/>
          <w:sz w:val="32"/>
          <w:szCs w:val="32"/>
        </w:rPr>
      </w:pPr>
      <w:r>
        <w:rPr>
          <w:rFonts w:ascii="仿宋_GB2312" w:eastAsia="仿宋_GB2312" w:hAnsi="仿宋" w:hint="eastAsia"/>
          <w:kern w:val="24"/>
          <w:sz w:val="32"/>
          <w:szCs w:val="32"/>
        </w:rPr>
        <w:t>其中：新单保费</w:t>
      </w:r>
    </w:p>
    <w:p w:rsidR="00613763" w:rsidRDefault="00B7214F" w:rsidP="00613763">
      <w:pPr>
        <w:ind w:firstLineChars="200" w:firstLine="640"/>
        <w:rPr>
          <w:rFonts w:ascii="仿宋_GB2312" w:eastAsia="仿宋_GB2312" w:hAnsi="仿宋" w:cstheme="minorBidi"/>
          <w:kern w:val="24"/>
          <w:sz w:val="32"/>
          <w:szCs w:val="32"/>
        </w:rPr>
      </w:pPr>
      <w:r w:rsidRPr="00CA539D">
        <w:rPr>
          <w:rFonts w:ascii="仿宋_GB2312" w:eastAsia="仿宋_GB2312" w:hAnsi="仿宋" w:cstheme="minorBidi" w:hint="eastAsia"/>
          <w:kern w:val="24"/>
          <w:sz w:val="32"/>
          <w:szCs w:val="32"/>
        </w:rPr>
        <w:t>截至</w:t>
      </w:r>
      <w:r w:rsidR="00736E79">
        <w:rPr>
          <w:rFonts w:ascii="仿宋_GB2312" w:eastAsia="仿宋_GB2312" w:hAnsi="仿宋" w:cstheme="minorBidi" w:hint="eastAsia"/>
          <w:kern w:val="24"/>
          <w:sz w:val="32"/>
          <w:szCs w:val="32"/>
        </w:rPr>
        <w:t>9</w:t>
      </w:r>
      <w:r w:rsidRPr="00CA539D">
        <w:rPr>
          <w:rFonts w:ascii="仿宋_GB2312" w:eastAsia="仿宋_GB2312" w:hAnsi="仿宋" w:cstheme="minorBidi" w:hint="eastAsia"/>
          <w:kern w:val="24"/>
          <w:sz w:val="32"/>
          <w:szCs w:val="32"/>
        </w:rPr>
        <w:t>月</w:t>
      </w:r>
      <w:r>
        <w:rPr>
          <w:rFonts w:ascii="仿宋_GB2312" w:eastAsia="仿宋_GB2312" w:hAnsi="仿宋" w:cstheme="minorBidi" w:hint="eastAsia"/>
          <w:kern w:val="24"/>
          <w:sz w:val="32"/>
          <w:szCs w:val="32"/>
        </w:rPr>
        <w:t>3</w:t>
      </w:r>
      <w:r w:rsidR="00FE3FA3">
        <w:rPr>
          <w:rFonts w:ascii="仿宋_GB2312" w:eastAsia="仿宋_GB2312" w:hAnsi="仿宋" w:cstheme="minorBidi" w:hint="eastAsia"/>
          <w:kern w:val="24"/>
          <w:sz w:val="32"/>
          <w:szCs w:val="32"/>
        </w:rPr>
        <w:t>0</w:t>
      </w:r>
      <w:r w:rsidRPr="00CA539D">
        <w:rPr>
          <w:rFonts w:ascii="仿宋_GB2312" w:eastAsia="仿宋_GB2312" w:hAnsi="仿宋" w:cstheme="minorBidi" w:hint="eastAsia"/>
          <w:kern w:val="24"/>
          <w:sz w:val="32"/>
          <w:szCs w:val="32"/>
        </w:rPr>
        <w:t>日，丹东地区新单保费收入为</w:t>
      </w:r>
      <w:r w:rsidR="00736E79">
        <w:rPr>
          <w:rFonts w:ascii="仿宋_GB2312" w:eastAsia="仿宋_GB2312" w:hAnsi="仿宋" w:cstheme="minorBidi" w:hint="eastAsia"/>
          <w:kern w:val="24"/>
          <w:sz w:val="32"/>
          <w:szCs w:val="32"/>
        </w:rPr>
        <w:t>109</w:t>
      </w:r>
      <w:r w:rsidRPr="00CA539D">
        <w:rPr>
          <w:rFonts w:ascii="仿宋_GB2312" w:eastAsia="仿宋_GB2312" w:hAnsi="仿宋" w:cstheme="minorBidi" w:hint="eastAsia"/>
          <w:kern w:val="24"/>
          <w:sz w:val="32"/>
          <w:szCs w:val="32"/>
        </w:rPr>
        <w:t>,</w:t>
      </w:r>
      <w:r w:rsidR="00736E79">
        <w:rPr>
          <w:rFonts w:ascii="仿宋_GB2312" w:eastAsia="仿宋_GB2312" w:hAnsi="仿宋" w:cstheme="minorBidi" w:hint="eastAsia"/>
          <w:kern w:val="24"/>
          <w:sz w:val="32"/>
          <w:szCs w:val="32"/>
        </w:rPr>
        <w:t>309</w:t>
      </w:r>
      <w:r w:rsidRPr="00CA539D">
        <w:rPr>
          <w:rFonts w:ascii="仿宋_GB2312" w:eastAsia="仿宋_GB2312" w:hAnsi="仿宋" w:cstheme="minorBidi" w:hint="eastAsia"/>
          <w:kern w:val="24"/>
          <w:sz w:val="32"/>
          <w:szCs w:val="32"/>
        </w:rPr>
        <w:t>万元，同比下降</w:t>
      </w:r>
      <w:r w:rsidR="00736E79">
        <w:rPr>
          <w:rFonts w:ascii="仿宋_GB2312" w:eastAsia="仿宋_GB2312" w:hAnsi="仿宋" w:cstheme="minorBidi" w:hint="eastAsia"/>
          <w:kern w:val="24"/>
          <w:sz w:val="32"/>
          <w:szCs w:val="32"/>
        </w:rPr>
        <w:t>9.63</w:t>
      </w:r>
      <w:r w:rsidRPr="00CA539D">
        <w:rPr>
          <w:rFonts w:ascii="仿宋_GB2312" w:eastAsia="仿宋_GB2312" w:hAnsi="仿宋" w:cstheme="minorBidi" w:hint="eastAsia"/>
          <w:kern w:val="24"/>
          <w:sz w:val="32"/>
          <w:szCs w:val="32"/>
        </w:rPr>
        <w:t>%，丹东地区26家机构中</w:t>
      </w:r>
      <w:r w:rsidR="004B5A8D">
        <w:rPr>
          <w:rFonts w:ascii="仿宋_GB2312" w:eastAsia="仿宋_GB2312" w:hAnsi="仿宋" w:cstheme="minorBidi" w:hint="eastAsia"/>
          <w:kern w:val="24"/>
          <w:sz w:val="32"/>
          <w:szCs w:val="32"/>
        </w:rPr>
        <w:t>1</w:t>
      </w:r>
      <w:r w:rsidR="007A780D">
        <w:rPr>
          <w:rFonts w:ascii="仿宋_GB2312" w:eastAsia="仿宋_GB2312" w:hAnsi="仿宋" w:cstheme="minorBidi" w:hint="eastAsia"/>
          <w:kern w:val="24"/>
          <w:sz w:val="32"/>
          <w:szCs w:val="32"/>
        </w:rPr>
        <w:t>1</w:t>
      </w:r>
      <w:r w:rsidRPr="00CA539D">
        <w:rPr>
          <w:rFonts w:ascii="仿宋_GB2312" w:eastAsia="仿宋_GB2312" w:hAnsi="仿宋" w:cstheme="minorBidi" w:hint="eastAsia"/>
          <w:kern w:val="24"/>
          <w:sz w:val="32"/>
          <w:szCs w:val="32"/>
        </w:rPr>
        <w:t>家机构实现正增长，其中：</w:t>
      </w:r>
      <w:r w:rsidR="00EB6C83">
        <w:rPr>
          <w:rFonts w:ascii="仿宋_GB2312" w:eastAsia="仿宋_GB2312" w:hAnsi="仿宋" w:cstheme="minorBidi" w:hint="eastAsia"/>
          <w:kern w:val="24"/>
          <w:sz w:val="32"/>
          <w:szCs w:val="32"/>
        </w:rPr>
        <w:t>大家</w:t>
      </w:r>
      <w:r w:rsidRPr="00CA539D">
        <w:rPr>
          <w:rFonts w:ascii="仿宋_GB2312" w:eastAsia="仿宋_GB2312" w:hAnsi="仿宋" w:cstheme="minorBidi" w:hint="eastAsia"/>
          <w:kern w:val="24"/>
          <w:sz w:val="32"/>
          <w:szCs w:val="32"/>
        </w:rPr>
        <w:t>人寿</w:t>
      </w:r>
      <w:r>
        <w:rPr>
          <w:rFonts w:ascii="仿宋_GB2312" w:eastAsia="仿宋_GB2312" w:hAnsi="仿宋" w:cstheme="minorBidi" w:hint="eastAsia"/>
          <w:kern w:val="24"/>
          <w:sz w:val="32"/>
          <w:szCs w:val="32"/>
        </w:rPr>
        <w:t>、</w:t>
      </w:r>
      <w:r w:rsidR="007A780D">
        <w:rPr>
          <w:rFonts w:ascii="仿宋_GB2312" w:eastAsia="仿宋_GB2312" w:hAnsi="仿宋" w:cstheme="minorBidi" w:hint="eastAsia"/>
          <w:kern w:val="24"/>
          <w:sz w:val="32"/>
          <w:szCs w:val="32"/>
        </w:rPr>
        <w:t>和谐健康、</w:t>
      </w:r>
      <w:r w:rsidR="004B5A8D">
        <w:rPr>
          <w:rFonts w:ascii="仿宋_GB2312" w:eastAsia="仿宋_GB2312" w:hAnsi="仿宋" w:cstheme="minorBidi" w:hint="eastAsia"/>
          <w:kern w:val="24"/>
          <w:sz w:val="32"/>
          <w:szCs w:val="32"/>
        </w:rPr>
        <w:t>合众</w:t>
      </w:r>
      <w:r w:rsidRPr="00CA539D">
        <w:rPr>
          <w:rFonts w:ascii="仿宋_GB2312" w:eastAsia="仿宋_GB2312" w:hAnsi="仿宋" w:cstheme="minorBidi" w:hint="eastAsia"/>
          <w:kern w:val="24"/>
          <w:sz w:val="32"/>
          <w:szCs w:val="32"/>
        </w:rPr>
        <w:t>人寿增速居前3位，</w:t>
      </w:r>
      <w:r w:rsidR="00D60858">
        <w:rPr>
          <w:rFonts w:ascii="仿宋_GB2312" w:eastAsia="仿宋_GB2312" w:hAnsi="仿宋" w:cstheme="minorBidi" w:hint="eastAsia"/>
          <w:kern w:val="24"/>
          <w:sz w:val="32"/>
          <w:szCs w:val="32"/>
        </w:rPr>
        <w:t>同比</w:t>
      </w:r>
      <w:r w:rsidRPr="00CA539D">
        <w:rPr>
          <w:rFonts w:ascii="仿宋_GB2312" w:eastAsia="仿宋_GB2312" w:hAnsi="仿宋" w:cstheme="minorBidi" w:hint="eastAsia"/>
          <w:kern w:val="24"/>
          <w:sz w:val="32"/>
          <w:szCs w:val="32"/>
        </w:rPr>
        <w:t>分别增长</w:t>
      </w:r>
      <w:r w:rsidR="007A780D">
        <w:rPr>
          <w:rFonts w:ascii="仿宋_GB2312" w:eastAsia="仿宋_GB2312" w:hAnsi="仿宋" w:cstheme="minorBidi" w:hint="eastAsia"/>
          <w:kern w:val="24"/>
          <w:sz w:val="32"/>
          <w:szCs w:val="32"/>
        </w:rPr>
        <w:t>45833</w:t>
      </w:r>
      <w:r w:rsidRPr="00CA539D">
        <w:rPr>
          <w:rFonts w:ascii="仿宋_GB2312" w:eastAsia="仿宋_GB2312" w:hAnsi="仿宋" w:cstheme="minorBidi" w:hint="eastAsia"/>
          <w:kern w:val="24"/>
          <w:sz w:val="32"/>
          <w:szCs w:val="32"/>
        </w:rPr>
        <w:t>%、</w:t>
      </w:r>
      <w:r w:rsidR="007A780D">
        <w:rPr>
          <w:rFonts w:ascii="仿宋_GB2312" w:eastAsia="仿宋_GB2312" w:hAnsi="仿宋" w:cstheme="minorBidi" w:hint="eastAsia"/>
          <w:kern w:val="24"/>
          <w:sz w:val="32"/>
          <w:szCs w:val="32"/>
        </w:rPr>
        <w:t>175</w:t>
      </w:r>
      <w:r w:rsidRPr="00CA539D">
        <w:rPr>
          <w:rFonts w:ascii="仿宋_GB2312" w:eastAsia="仿宋_GB2312" w:hAnsi="仿宋" w:cstheme="minorBidi" w:hint="eastAsia"/>
          <w:kern w:val="24"/>
          <w:sz w:val="32"/>
          <w:szCs w:val="32"/>
        </w:rPr>
        <w:t>%和</w:t>
      </w:r>
      <w:r w:rsidR="007A780D">
        <w:rPr>
          <w:rFonts w:ascii="仿宋_GB2312" w:eastAsia="仿宋_GB2312" w:hAnsi="仿宋" w:cstheme="minorBidi" w:hint="eastAsia"/>
          <w:kern w:val="24"/>
          <w:sz w:val="32"/>
          <w:szCs w:val="32"/>
        </w:rPr>
        <w:t>154.41</w:t>
      </w:r>
      <w:r w:rsidRPr="00CA539D">
        <w:rPr>
          <w:rFonts w:ascii="仿宋_GB2312" w:eastAsia="仿宋_GB2312" w:hAnsi="仿宋" w:cstheme="minorBidi" w:hint="eastAsia"/>
          <w:kern w:val="24"/>
          <w:sz w:val="32"/>
          <w:szCs w:val="32"/>
        </w:rPr>
        <w:t>%；1</w:t>
      </w:r>
      <w:r w:rsidR="007A780D">
        <w:rPr>
          <w:rFonts w:ascii="仿宋_GB2312" w:eastAsia="仿宋_GB2312" w:hAnsi="仿宋" w:cstheme="minorBidi" w:hint="eastAsia"/>
          <w:kern w:val="24"/>
          <w:sz w:val="32"/>
          <w:szCs w:val="32"/>
        </w:rPr>
        <w:t>5</w:t>
      </w:r>
      <w:r w:rsidRPr="00CA539D">
        <w:rPr>
          <w:rFonts w:ascii="仿宋_GB2312" w:eastAsia="仿宋_GB2312" w:hAnsi="仿宋" w:cstheme="minorBidi" w:hint="eastAsia"/>
          <w:kern w:val="24"/>
          <w:sz w:val="32"/>
          <w:szCs w:val="32"/>
        </w:rPr>
        <w:t>家机构出现</w:t>
      </w:r>
      <w:r w:rsidR="00D60858">
        <w:rPr>
          <w:rFonts w:ascii="仿宋_GB2312" w:eastAsia="仿宋_GB2312" w:hAnsi="仿宋" w:cstheme="minorBidi" w:hint="eastAsia"/>
          <w:kern w:val="24"/>
          <w:sz w:val="32"/>
          <w:szCs w:val="32"/>
        </w:rPr>
        <w:t>下滑</w:t>
      </w:r>
      <w:r w:rsidR="00E315F4">
        <w:rPr>
          <w:rFonts w:ascii="仿宋_GB2312" w:eastAsia="仿宋_GB2312" w:hAnsi="仿宋" w:cstheme="minorBidi" w:hint="eastAsia"/>
          <w:kern w:val="24"/>
          <w:sz w:val="32"/>
          <w:szCs w:val="32"/>
        </w:rPr>
        <w:t>。</w:t>
      </w:r>
    </w:p>
    <w:p w:rsidR="00B7214F" w:rsidRPr="00B7214F" w:rsidRDefault="00036D86" w:rsidP="00036D86">
      <w:pPr>
        <w:ind w:leftChars="-203" w:left="-283" w:hangingChars="68" w:hanging="143"/>
        <w:rPr>
          <w:rFonts w:ascii="楷体_GB2312" w:eastAsia="楷体_GB2312" w:hAnsi="宋体"/>
          <w:b/>
          <w:sz w:val="32"/>
          <w:szCs w:val="32"/>
        </w:rPr>
      </w:pPr>
      <w:r>
        <w:rPr>
          <w:noProof/>
        </w:rPr>
        <w:lastRenderedPageBreak/>
        <w:drawing>
          <wp:inline distT="0" distB="0" distL="0" distR="0" wp14:anchorId="6AB8A4B3" wp14:editId="0C876378">
            <wp:extent cx="6315075" cy="3209925"/>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539D" w:rsidRPr="00CA539D" w:rsidRDefault="00CA539D" w:rsidP="00CA539D">
      <w:pPr>
        <w:ind w:leftChars="179" w:left="376"/>
        <w:rPr>
          <w:rFonts w:ascii="仿宋_GB2312" w:eastAsia="仿宋_GB2312" w:hAnsi="宋体"/>
          <w:sz w:val="32"/>
          <w:szCs w:val="32"/>
        </w:rPr>
      </w:pPr>
      <w:r w:rsidRPr="00CA539D">
        <w:rPr>
          <w:rFonts w:ascii="楷体_GB2312" w:eastAsia="楷体_GB2312" w:hAnsi="宋体" w:hint="eastAsia"/>
          <w:b/>
          <w:sz w:val="32"/>
          <w:szCs w:val="32"/>
        </w:rPr>
        <w:t>（二）市场份额</w:t>
      </w:r>
    </w:p>
    <w:p w:rsidR="00CB59D2" w:rsidRDefault="00CA539D" w:rsidP="00CB59D2">
      <w:pPr>
        <w:ind w:leftChars="34" w:left="71" w:firstLineChars="200" w:firstLine="640"/>
        <w:rPr>
          <w:rFonts w:ascii="仿宋_GB2312" w:eastAsia="仿宋_GB2312"/>
          <w:sz w:val="32"/>
          <w:szCs w:val="32"/>
        </w:rPr>
      </w:pPr>
      <w:r w:rsidRPr="00CA539D">
        <w:rPr>
          <w:rFonts w:ascii="仿宋_GB2312" w:eastAsia="仿宋_GB2312" w:hAnsi="宋体" w:hint="eastAsia"/>
          <w:sz w:val="32"/>
          <w:szCs w:val="32"/>
        </w:rPr>
        <w:t>截至</w:t>
      </w:r>
      <w:r w:rsidR="00F06F35">
        <w:rPr>
          <w:rFonts w:ascii="仿宋_GB2312" w:eastAsia="仿宋_GB2312" w:hAnsi="宋体" w:hint="eastAsia"/>
          <w:sz w:val="32"/>
          <w:szCs w:val="32"/>
        </w:rPr>
        <w:t>9</w:t>
      </w:r>
      <w:r w:rsidRPr="00CA539D">
        <w:rPr>
          <w:rFonts w:ascii="仿宋_GB2312" w:eastAsia="仿宋_GB2312" w:hAnsi="宋体" w:hint="eastAsia"/>
          <w:sz w:val="32"/>
          <w:szCs w:val="32"/>
        </w:rPr>
        <w:t>月</w:t>
      </w:r>
      <w:r w:rsidR="00B97C02">
        <w:rPr>
          <w:rFonts w:ascii="仿宋_GB2312" w:eastAsia="仿宋_GB2312" w:hAnsi="宋体" w:hint="eastAsia"/>
          <w:sz w:val="32"/>
          <w:szCs w:val="32"/>
        </w:rPr>
        <w:t>3</w:t>
      </w:r>
      <w:r w:rsidR="007419F6">
        <w:rPr>
          <w:rFonts w:ascii="仿宋_GB2312" w:eastAsia="仿宋_GB2312" w:hAnsi="宋体" w:hint="eastAsia"/>
          <w:sz w:val="32"/>
          <w:szCs w:val="32"/>
        </w:rPr>
        <w:t>0</w:t>
      </w:r>
      <w:r w:rsidRPr="00CA539D">
        <w:rPr>
          <w:rFonts w:ascii="仿宋_GB2312" w:eastAsia="仿宋_GB2312" w:hAnsi="宋体" w:hint="eastAsia"/>
          <w:sz w:val="32"/>
          <w:szCs w:val="32"/>
        </w:rPr>
        <w:t>日</w:t>
      </w:r>
      <w:r w:rsidRPr="00CA539D">
        <w:rPr>
          <w:rFonts w:ascii="仿宋_GB2312" w:eastAsia="仿宋_GB2312" w:hint="eastAsia"/>
          <w:sz w:val="32"/>
          <w:szCs w:val="32"/>
        </w:rPr>
        <w:t>，各</w:t>
      </w:r>
      <w:r w:rsidR="00D60858">
        <w:rPr>
          <w:rFonts w:ascii="仿宋_GB2312" w:eastAsia="仿宋_GB2312" w:hint="eastAsia"/>
          <w:sz w:val="32"/>
          <w:szCs w:val="32"/>
        </w:rPr>
        <w:t>机构</w:t>
      </w:r>
      <w:r w:rsidRPr="00CA539D">
        <w:rPr>
          <w:rFonts w:ascii="仿宋_GB2312" w:eastAsia="仿宋_GB2312" w:hint="eastAsia"/>
          <w:sz w:val="32"/>
          <w:szCs w:val="32"/>
        </w:rPr>
        <w:t>市场份额最高的为</w:t>
      </w:r>
      <w:r w:rsidR="004358C8">
        <w:rPr>
          <w:rFonts w:ascii="仿宋_GB2312" w:eastAsia="仿宋_GB2312" w:hint="eastAsia"/>
          <w:sz w:val="32"/>
          <w:szCs w:val="32"/>
        </w:rPr>
        <w:t>19.</w:t>
      </w:r>
      <w:r w:rsidR="00D07118">
        <w:rPr>
          <w:rFonts w:ascii="仿宋_GB2312" w:eastAsia="仿宋_GB2312" w:hint="eastAsia"/>
          <w:sz w:val="32"/>
          <w:szCs w:val="32"/>
        </w:rPr>
        <w:t>99</w:t>
      </w:r>
      <w:r w:rsidRPr="00CA539D">
        <w:rPr>
          <w:rFonts w:ascii="仿宋_GB2312" w:eastAsia="仿宋_GB2312" w:hint="eastAsia"/>
          <w:sz w:val="32"/>
          <w:szCs w:val="32"/>
        </w:rPr>
        <w:t>%，最低为0.01%。与去年同期相比，</w:t>
      </w:r>
      <w:r w:rsidR="008423AC">
        <w:rPr>
          <w:rFonts w:ascii="仿宋_GB2312" w:eastAsia="仿宋_GB2312" w:hint="eastAsia"/>
          <w:sz w:val="32"/>
          <w:szCs w:val="32"/>
        </w:rPr>
        <w:t>13</w:t>
      </w:r>
      <w:r w:rsidRPr="00CA539D">
        <w:rPr>
          <w:rFonts w:ascii="仿宋_GB2312" w:eastAsia="仿宋_GB2312" w:hint="eastAsia"/>
          <w:sz w:val="32"/>
          <w:szCs w:val="32"/>
        </w:rPr>
        <w:t>家</w:t>
      </w:r>
      <w:r w:rsidR="00D60858">
        <w:rPr>
          <w:rFonts w:ascii="仿宋_GB2312" w:eastAsia="仿宋_GB2312" w:hint="eastAsia"/>
          <w:sz w:val="32"/>
          <w:szCs w:val="32"/>
        </w:rPr>
        <w:t>机构</w:t>
      </w:r>
      <w:r w:rsidRPr="00CA539D">
        <w:rPr>
          <w:rFonts w:ascii="仿宋_GB2312" w:eastAsia="仿宋_GB2312" w:hint="eastAsia"/>
          <w:sz w:val="32"/>
          <w:szCs w:val="32"/>
        </w:rPr>
        <w:t>市场份额上升，份额上升</w:t>
      </w:r>
      <w:r w:rsidR="00D60858">
        <w:rPr>
          <w:rFonts w:ascii="仿宋_GB2312" w:eastAsia="仿宋_GB2312" w:hint="eastAsia"/>
          <w:sz w:val="32"/>
          <w:szCs w:val="32"/>
        </w:rPr>
        <w:t>最</w:t>
      </w:r>
      <w:r w:rsidRPr="00CA539D">
        <w:rPr>
          <w:rFonts w:ascii="仿宋_GB2312" w:eastAsia="仿宋_GB2312" w:hint="eastAsia"/>
          <w:sz w:val="32"/>
          <w:szCs w:val="32"/>
        </w:rPr>
        <w:t>快的为</w:t>
      </w:r>
      <w:r w:rsidR="008423AC">
        <w:rPr>
          <w:rFonts w:ascii="仿宋_GB2312" w:eastAsia="仿宋_GB2312" w:hint="eastAsia"/>
          <w:sz w:val="32"/>
          <w:szCs w:val="32"/>
        </w:rPr>
        <w:t>合众</w:t>
      </w:r>
      <w:r w:rsidRPr="00CA539D">
        <w:rPr>
          <w:rFonts w:ascii="仿宋_GB2312" w:eastAsia="仿宋_GB2312" w:hint="eastAsia"/>
          <w:sz w:val="32"/>
          <w:szCs w:val="32"/>
        </w:rPr>
        <w:t>人寿，</w:t>
      </w:r>
      <w:r w:rsidR="00D60858">
        <w:rPr>
          <w:rFonts w:ascii="仿宋_GB2312" w:eastAsia="仿宋_GB2312" w:hint="eastAsia"/>
          <w:sz w:val="32"/>
          <w:szCs w:val="32"/>
        </w:rPr>
        <w:t>同比</w:t>
      </w:r>
      <w:r w:rsidRPr="00CA539D">
        <w:rPr>
          <w:rFonts w:ascii="仿宋_GB2312" w:eastAsia="仿宋_GB2312" w:hint="eastAsia"/>
          <w:sz w:val="32"/>
          <w:szCs w:val="32"/>
        </w:rPr>
        <w:t>上升</w:t>
      </w:r>
      <w:r w:rsidR="001072B8">
        <w:rPr>
          <w:rFonts w:ascii="仿宋_GB2312" w:eastAsia="仿宋_GB2312" w:hint="eastAsia"/>
          <w:sz w:val="32"/>
          <w:szCs w:val="32"/>
        </w:rPr>
        <w:t>1</w:t>
      </w:r>
      <w:r w:rsidR="00B97C02">
        <w:rPr>
          <w:rFonts w:ascii="仿宋_GB2312" w:eastAsia="仿宋_GB2312" w:hint="eastAsia"/>
          <w:sz w:val="32"/>
          <w:szCs w:val="32"/>
        </w:rPr>
        <w:t>.</w:t>
      </w:r>
      <w:r w:rsidR="00CB59D2">
        <w:rPr>
          <w:rFonts w:ascii="仿宋_GB2312" w:eastAsia="仿宋_GB2312" w:hint="eastAsia"/>
          <w:sz w:val="32"/>
          <w:szCs w:val="32"/>
        </w:rPr>
        <w:t>1</w:t>
      </w:r>
      <w:r w:rsidRPr="00CA539D">
        <w:rPr>
          <w:rFonts w:ascii="仿宋_GB2312" w:eastAsia="仿宋_GB2312" w:hint="eastAsia"/>
          <w:sz w:val="32"/>
          <w:szCs w:val="32"/>
        </w:rPr>
        <w:t>个百分点；</w:t>
      </w:r>
      <w:r w:rsidR="008423AC">
        <w:rPr>
          <w:rFonts w:ascii="仿宋_GB2312" w:eastAsia="仿宋_GB2312" w:hint="eastAsia"/>
          <w:sz w:val="32"/>
          <w:szCs w:val="32"/>
        </w:rPr>
        <w:t>8</w:t>
      </w:r>
      <w:r w:rsidRPr="00CA539D">
        <w:rPr>
          <w:rFonts w:ascii="仿宋_GB2312" w:eastAsia="仿宋_GB2312" w:hint="eastAsia"/>
          <w:sz w:val="32"/>
          <w:szCs w:val="32"/>
        </w:rPr>
        <w:t>家</w:t>
      </w:r>
      <w:r w:rsidR="00D60858">
        <w:rPr>
          <w:rFonts w:ascii="仿宋_GB2312" w:eastAsia="仿宋_GB2312" w:hint="eastAsia"/>
          <w:sz w:val="32"/>
          <w:szCs w:val="32"/>
        </w:rPr>
        <w:t>机构</w:t>
      </w:r>
      <w:r w:rsidRPr="00CA539D">
        <w:rPr>
          <w:rFonts w:ascii="仿宋_GB2312" w:eastAsia="仿宋_GB2312" w:hint="eastAsia"/>
          <w:sz w:val="32"/>
          <w:szCs w:val="32"/>
        </w:rPr>
        <w:t>市场份额下降，市场份额下降</w:t>
      </w:r>
      <w:r w:rsidR="00D60858">
        <w:rPr>
          <w:rFonts w:ascii="仿宋_GB2312" w:eastAsia="仿宋_GB2312" w:hint="eastAsia"/>
          <w:sz w:val="32"/>
          <w:szCs w:val="32"/>
        </w:rPr>
        <w:t>最快</w:t>
      </w:r>
      <w:r w:rsidRPr="00CA539D">
        <w:rPr>
          <w:rFonts w:ascii="仿宋_GB2312" w:eastAsia="仿宋_GB2312" w:hint="eastAsia"/>
          <w:sz w:val="32"/>
          <w:szCs w:val="32"/>
        </w:rPr>
        <w:t>的为</w:t>
      </w:r>
      <w:r w:rsidR="008423AC">
        <w:rPr>
          <w:rFonts w:ascii="仿宋_GB2312" w:eastAsia="仿宋_GB2312" w:hint="eastAsia"/>
          <w:sz w:val="32"/>
          <w:szCs w:val="32"/>
        </w:rPr>
        <w:t>国华</w:t>
      </w:r>
      <w:r w:rsidRPr="00CA539D">
        <w:rPr>
          <w:rFonts w:ascii="仿宋_GB2312" w:eastAsia="仿宋_GB2312" w:hint="eastAsia"/>
          <w:sz w:val="32"/>
          <w:szCs w:val="32"/>
        </w:rPr>
        <w:t>人寿，</w:t>
      </w:r>
      <w:r w:rsidR="00D60858">
        <w:rPr>
          <w:rFonts w:ascii="仿宋_GB2312" w:eastAsia="仿宋_GB2312" w:hint="eastAsia"/>
          <w:sz w:val="32"/>
          <w:szCs w:val="32"/>
        </w:rPr>
        <w:t>同比</w:t>
      </w:r>
      <w:r w:rsidRPr="00CA539D">
        <w:rPr>
          <w:rFonts w:ascii="仿宋_GB2312" w:eastAsia="仿宋_GB2312" w:hint="eastAsia"/>
          <w:sz w:val="32"/>
          <w:szCs w:val="32"/>
        </w:rPr>
        <w:t>下降</w:t>
      </w:r>
      <w:r w:rsidR="001072B8">
        <w:rPr>
          <w:rFonts w:ascii="仿宋_GB2312" w:eastAsia="仿宋_GB2312" w:hint="eastAsia"/>
          <w:sz w:val="32"/>
          <w:szCs w:val="32"/>
        </w:rPr>
        <w:t>1.</w:t>
      </w:r>
      <w:r w:rsidR="008423AC">
        <w:rPr>
          <w:rFonts w:ascii="仿宋_GB2312" w:eastAsia="仿宋_GB2312" w:hint="eastAsia"/>
          <w:sz w:val="32"/>
          <w:szCs w:val="32"/>
        </w:rPr>
        <w:t>6</w:t>
      </w:r>
      <w:r w:rsidRPr="00CA539D">
        <w:rPr>
          <w:rFonts w:ascii="仿宋_GB2312" w:eastAsia="仿宋_GB2312" w:hint="eastAsia"/>
          <w:sz w:val="32"/>
          <w:szCs w:val="32"/>
        </w:rPr>
        <w:t>个百分点,</w:t>
      </w:r>
      <w:r w:rsidR="008423AC">
        <w:rPr>
          <w:rFonts w:ascii="仿宋_GB2312" w:eastAsia="仿宋_GB2312" w:hint="eastAsia"/>
          <w:sz w:val="32"/>
          <w:szCs w:val="32"/>
        </w:rPr>
        <w:t>5</w:t>
      </w:r>
      <w:r w:rsidRPr="00CA539D">
        <w:rPr>
          <w:rFonts w:ascii="仿宋_GB2312" w:eastAsia="仿宋_GB2312" w:hint="eastAsia"/>
          <w:sz w:val="32"/>
          <w:szCs w:val="32"/>
        </w:rPr>
        <w:t>家机构</w:t>
      </w:r>
      <w:r w:rsidR="00D60858">
        <w:rPr>
          <w:rFonts w:ascii="仿宋_GB2312" w:eastAsia="仿宋_GB2312" w:hint="eastAsia"/>
          <w:sz w:val="32"/>
          <w:szCs w:val="32"/>
        </w:rPr>
        <w:t>市场份额</w:t>
      </w:r>
      <w:r w:rsidRPr="00CA539D">
        <w:rPr>
          <w:rFonts w:ascii="仿宋_GB2312" w:eastAsia="仿宋_GB2312" w:hint="eastAsia"/>
          <w:sz w:val="32"/>
          <w:szCs w:val="32"/>
        </w:rPr>
        <w:t>持平。</w:t>
      </w:r>
    </w:p>
    <w:p w:rsidR="00CA539D" w:rsidRPr="00CA539D" w:rsidRDefault="00604F70" w:rsidP="00604F70">
      <w:pPr>
        <w:ind w:leftChars="-337" w:left="71" w:hangingChars="371" w:hanging="779"/>
        <w:rPr>
          <w:rFonts w:ascii="仿宋_GB2312" w:eastAsia="仿宋_GB2312"/>
          <w:sz w:val="32"/>
          <w:szCs w:val="32"/>
        </w:rPr>
      </w:pPr>
      <w:r>
        <w:rPr>
          <w:noProof/>
        </w:rPr>
        <w:drawing>
          <wp:inline distT="0" distB="0" distL="0" distR="0" wp14:anchorId="17B39CE7" wp14:editId="2866B884">
            <wp:extent cx="6496050" cy="2876550"/>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539D" w:rsidRPr="00CA539D" w:rsidRDefault="00CA539D" w:rsidP="00CA539D">
      <w:pPr>
        <w:ind w:leftChars="190" w:left="470" w:hangingChars="22" w:hanging="71"/>
      </w:pPr>
      <w:r w:rsidRPr="00CA539D">
        <w:rPr>
          <w:rFonts w:ascii="楷体_GB2312" w:eastAsia="楷体_GB2312" w:hAnsi="宋体" w:hint="eastAsia"/>
          <w:b/>
          <w:sz w:val="32"/>
          <w:szCs w:val="32"/>
        </w:rPr>
        <w:lastRenderedPageBreak/>
        <w:t>（三）</w:t>
      </w:r>
      <w:r w:rsidRPr="00CA539D">
        <w:rPr>
          <w:rFonts w:ascii="楷体_GB2312" w:eastAsia="楷体_GB2312" w:hint="eastAsia"/>
          <w:b/>
          <w:sz w:val="32"/>
          <w:szCs w:val="32"/>
        </w:rPr>
        <w:t>险种结构</w:t>
      </w:r>
    </w:p>
    <w:p w:rsidR="000D2860" w:rsidRDefault="00CA539D" w:rsidP="000D2860">
      <w:pPr>
        <w:ind w:firstLineChars="200" w:firstLine="640"/>
        <w:rPr>
          <w:rFonts w:ascii="仿宋_GB2312" w:eastAsia="仿宋_GB2312"/>
          <w:sz w:val="32"/>
          <w:szCs w:val="32"/>
        </w:rPr>
      </w:pPr>
      <w:r w:rsidRPr="00CA539D">
        <w:rPr>
          <w:rFonts w:ascii="仿宋_GB2312" w:eastAsia="仿宋_GB2312" w:hAnsi="宋体" w:hint="eastAsia"/>
          <w:sz w:val="32"/>
          <w:szCs w:val="32"/>
        </w:rPr>
        <w:t>截至</w:t>
      </w:r>
      <w:r w:rsidR="009B31CE">
        <w:rPr>
          <w:rFonts w:ascii="仿宋_GB2312" w:eastAsia="仿宋_GB2312" w:hAnsi="宋体" w:hint="eastAsia"/>
          <w:sz w:val="32"/>
          <w:szCs w:val="32"/>
        </w:rPr>
        <w:t>9</w:t>
      </w:r>
      <w:r w:rsidRPr="00CA539D">
        <w:rPr>
          <w:rFonts w:ascii="仿宋_GB2312" w:eastAsia="仿宋_GB2312" w:hAnsi="宋体" w:hint="eastAsia"/>
          <w:sz w:val="32"/>
          <w:szCs w:val="32"/>
        </w:rPr>
        <w:t>月</w:t>
      </w:r>
      <w:r w:rsidR="008D7EA5">
        <w:rPr>
          <w:rFonts w:ascii="仿宋_GB2312" w:eastAsia="仿宋_GB2312" w:hAnsi="宋体" w:hint="eastAsia"/>
          <w:sz w:val="32"/>
          <w:szCs w:val="32"/>
        </w:rPr>
        <w:t>30</w:t>
      </w:r>
      <w:r w:rsidRPr="00CA539D">
        <w:rPr>
          <w:rFonts w:ascii="仿宋_GB2312" w:eastAsia="仿宋_GB2312" w:hAnsi="宋体" w:hint="eastAsia"/>
          <w:sz w:val="32"/>
          <w:szCs w:val="32"/>
        </w:rPr>
        <w:t>日</w:t>
      </w:r>
      <w:r w:rsidR="00004651">
        <w:rPr>
          <w:rFonts w:ascii="仿宋_GB2312" w:eastAsia="仿宋_GB2312" w:hint="eastAsia"/>
          <w:sz w:val="32"/>
          <w:szCs w:val="32"/>
        </w:rPr>
        <w:t>，全地区</w:t>
      </w:r>
      <w:r w:rsidRPr="00CA539D">
        <w:rPr>
          <w:rFonts w:ascii="仿宋_GB2312" w:eastAsia="仿宋_GB2312" w:hint="eastAsia"/>
          <w:sz w:val="32"/>
          <w:szCs w:val="32"/>
        </w:rPr>
        <w:t>寿险保费收入</w:t>
      </w:r>
      <w:r w:rsidR="00277CF1">
        <w:rPr>
          <w:rFonts w:ascii="仿宋_GB2312" w:eastAsia="仿宋_GB2312" w:hint="eastAsia"/>
          <w:sz w:val="32"/>
          <w:szCs w:val="32"/>
        </w:rPr>
        <w:t>267</w:t>
      </w:r>
      <w:r w:rsidRPr="00CA539D">
        <w:rPr>
          <w:rFonts w:ascii="仿宋_GB2312" w:eastAsia="仿宋_GB2312" w:hint="eastAsia"/>
          <w:sz w:val="32"/>
          <w:szCs w:val="32"/>
        </w:rPr>
        <w:t>,</w:t>
      </w:r>
      <w:r w:rsidR="00277CF1">
        <w:rPr>
          <w:rFonts w:ascii="仿宋_GB2312" w:eastAsia="仿宋_GB2312" w:hint="eastAsia"/>
          <w:sz w:val="32"/>
          <w:szCs w:val="32"/>
        </w:rPr>
        <w:t>572</w:t>
      </w:r>
      <w:r w:rsidRPr="00CA539D">
        <w:rPr>
          <w:rFonts w:ascii="仿宋_GB2312" w:eastAsia="仿宋_GB2312" w:hint="eastAsia"/>
          <w:sz w:val="32"/>
          <w:szCs w:val="32"/>
        </w:rPr>
        <w:t>万元，占总保费</w:t>
      </w:r>
      <w:r w:rsidR="00004651">
        <w:rPr>
          <w:rFonts w:ascii="仿宋_GB2312" w:eastAsia="仿宋_GB2312" w:hint="eastAsia"/>
          <w:sz w:val="32"/>
          <w:szCs w:val="32"/>
        </w:rPr>
        <w:t>规模</w:t>
      </w:r>
      <w:r w:rsidR="00277CF1">
        <w:rPr>
          <w:rFonts w:ascii="仿宋_GB2312" w:eastAsia="仿宋_GB2312" w:hint="eastAsia"/>
          <w:sz w:val="32"/>
          <w:szCs w:val="32"/>
        </w:rPr>
        <w:t>81.84</w:t>
      </w:r>
      <w:r w:rsidRPr="00CA539D">
        <w:rPr>
          <w:rFonts w:ascii="仿宋_GB2312" w:eastAsia="仿宋_GB2312" w:hint="eastAsia"/>
          <w:sz w:val="32"/>
          <w:szCs w:val="32"/>
        </w:rPr>
        <w:t>%，同比下降</w:t>
      </w:r>
      <w:r w:rsidR="00961D0B">
        <w:rPr>
          <w:rFonts w:ascii="仿宋_GB2312" w:eastAsia="仿宋_GB2312" w:hint="eastAsia"/>
          <w:sz w:val="32"/>
          <w:szCs w:val="32"/>
        </w:rPr>
        <w:t>0.</w:t>
      </w:r>
      <w:r w:rsidR="00277CF1">
        <w:rPr>
          <w:rFonts w:ascii="仿宋_GB2312" w:eastAsia="仿宋_GB2312" w:hint="eastAsia"/>
          <w:sz w:val="32"/>
          <w:szCs w:val="32"/>
        </w:rPr>
        <w:t>49</w:t>
      </w:r>
      <w:r w:rsidRPr="00CA539D">
        <w:rPr>
          <w:rFonts w:ascii="仿宋_GB2312" w:eastAsia="仿宋_GB2312" w:hint="eastAsia"/>
          <w:sz w:val="32"/>
          <w:szCs w:val="32"/>
        </w:rPr>
        <w:t>%</w:t>
      </w:r>
      <w:r w:rsidR="00004651">
        <w:rPr>
          <w:rFonts w:ascii="仿宋_GB2312" w:eastAsia="仿宋_GB2312" w:hint="eastAsia"/>
          <w:sz w:val="32"/>
          <w:szCs w:val="32"/>
        </w:rPr>
        <w:t>；意外险</w:t>
      </w:r>
      <w:r w:rsidRPr="00CA539D">
        <w:rPr>
          <w:rFonts w:ascii="仿宋_GB2312" w:eastAsia="仿宋_GB2312" w:hint="eastAsia"/>
          <w:sz w:val="32"/>
          <w:szCs w:val="32"/>
        </w:rPr>
        <w:t>保费收入</w:t>
      </w:r>
      <w:r w:rsidR="00277CF1">
        <w:rPr>
          <w:rFonts w:ascii="仿宋_GB2312" w:eastAsia="仿宋_GB2312" w:hint="eastAsia"/>
          <w:sz w:val="32"/>
          <w:szCs w:val="32"/>
        </w:rPr>
        <w:t>4</w:t>
      </w:r>
      <w:r w:rsidRPr="00CA539D">
        <w:rPr>
          <w:rFonts w:ascii="仿宋_GB2312" w:eastAsia="仿宋_GB2312" w:hint="eastAsia"/>
          <w:sz w:val="32"/>
          <w:szCs w:val="32"/>
        </w:rPr>
        <w:t>,</w:t>
      </w:r>
      <w:r w:rsidR="00277CF1">
        <w:rPr>
          <w:rFonts w:ascii="仿宋_GB2312" w:eastAsia="仿宋_GB2312" w:hint="eastAsia"/>
          <w:sz w:val="32"/>
          <w:szCs w:val="32"/>
        </w:rPr>
        <w:t>819</w:t>
      </w:r>
      <w:r w:rsidR="00004651">
        <w:rPr>
          <w:rFonts w:ascii="仿宋_GB2312" w:eastAsia="仿宋_GB2312" w:hint="eastAsia"/>
          <w:sz w:val="32"/>
          <w:szCs w:val="32"/>
        </w:rPr>
        <w:t>万元，占总保费规模</w:t>
      </w:r>
      <w:r w:rsidR="00961D0B">
        <w:rPr>
          <w:rFonts w:ascii="仿宋_GB2312" w:eastAsia="仿宋_GB2312" w:hint="eastAsia"/>
          <w:sz w:val="32"/>
          <w:szCs w:val="32"/>
        </w:rPr>
        <w:t>1.</w:t>
      </w:r>
      <w:r w:rsidR="00277CF1">
        <w:rPr>
          <w:rFonts w:ascii="仿宋_GB2312" w:eastAsia="仿宋_GB2312" w:hint="eastAsia"/>
          <w:sz w:val="32"/>
          <w:szCs w:val="32"/>
        </w:rPr>
        <w:t>47</w:t>
      </w:r>
      <w:r w:rsidRPr="00CA539D">
        <w:rPr>
          <w:rFonts w:ascii="仿宋_GB2312" w:eastAsia="仿宋_GB2312" w:hint="eastAsia"/>
          <w:sz w:val="32"/>
          <w:szCs w:val="32"/>
        </w:rPr>
        <w:t>%，同比</w:t>
      </w:r>
      <w:r w:rsidR="00586E47">
        <w:rPr>
          <w:rFonts w:ascii="仿宋_GB2312" w:eastAsia="仿宋_GB2312" w:hint="eastAsia"/>
          <w:sz w:val="32"/>
          <w:szCs w:val="32"/>
        </w:rPr>
        <w:t>增长</w:t>
      </w:r>
      <w:r w:rsidR="00277CF1">
        <w:rPr>
          <w:rFonts w:ascii="仿宋_GB2312" w:eastAsia="仿宋_GB2312" w:hint="eastAsia"/>
          <w:sz w:val="32"/>
          <w:szCs w:val="32"/>
        </w:rPr>
        <w:t>79.55</w:t>
      </w:r>
      <w:r w:rsidRPr="00CA539D">
        <w:rPr>
          <w:rFonts w:ascii="仿宋_GB2312" w:eastAsia="仿宋_GB2312" w:hint="eastAsia"/>
          <w:sz w:val="32"/>
          <w:szCs w:val="32"/>
        </w:rPr>
        <w:t>%</w:t>
      </w:r>
      <w:r w:rsidR="00004651">
        <w:rPr>
          <w:rFonts w:ascii="仿宋_GB2312" w:eastAsia="仿宋_GB2312" w:hint="eastAsia"/>
          <w:sz w:val="32"/>
          <w:szCs w:val="32"/>
        </w:rPr>
        <w:t>；健康险</w:t>
      </w:r>
      <w:r w:rsidRPr="00CA539D">
        <w:rPr>
          <w:rFonts w:ascii="仿宋_GB2312" w:eastAsia="仿宋_GB2312" w:hint="eastAsia"/>
          <w:sz w:val="32"/>
          <w:szCs w:val="32"/>
        </w:rPr>
        <w:t>保费收入</w:t>
      </w:r>
      <w:r w:rsidR="00277CF1">
        <w:rPr>
          <w:rFonts w:ascii="仿宋_GB2312" w:eastAsia="仿宋_GB2312" w:hint="eastAsia"/>
          <w:sz w:val="32"/>
          <w:szCs w:val="32"/>
        </w:rPr>
        <w:t>54</w:t>
      </w:r>
      <w:r w:rsidRPr="00CA539D">
        <w:rPr>
          <w:rFonts w:ascii="仿宋_GB2312" w:eastAsia="仿宋_GB2312" w:hint="eastAsia"/>
          <w:sz w:val="32"/>
          <w:szCs w:val="32"/>
        </w:rPr>
        <w:t>,</w:t>
      </w:r>
      <w:r w:rsidR="00277CF1">
        <w:rPr>
          <w:rFonts w:ascii="仿宋_GB2312" w:eastAsia="仿宋_GB2312" w:hint="eastAsia"/>
          <w:sz w:val="32"/>
          <w:szCs w:val="32"/>
        </w:rPr>
        <w:t>865</w:t>
      </w:r>
      <w:r w:rsidR="00004651">
        <w:rPr>
          <w:rFonts w:ascii="仿宋_GB2312" w:eastAsia="仿宋_GB2312" w:hint="eastAsia"/>
          <w:sz w:val="32"/>
          <w:szCs w:val="32"/>
        </w:rPr>
        <w:t>万元，占总保费规模</w:t>
      </w:r>
      <w:r w:rsidR="00277CF1">
        <w:rPr>
          <w:rFonts w:ascii="仿宋_GB2312" w:eastAsia="仿宋_GB2312" w:hint="eastAsia"/>
          <w:sz w:val="32"/>
          <w:szCs w:val="32"/>
        </w:rPr>
        <w:t>16.69</w:t>
      </w:r>
      <w:r w:rsidRPr="00CA539D">
        <w:rPr>
          <w:rFonts w:ascii="仿宋_GB2312" w:eastAsia="仿宋_GB2312" w:hint="eastAsia"/>
          <w:sz w:val="32"/>
          <w:szCs w:val="32"/>
        </w:rPr>
        <w:t>%，同比</w:t>
      </w:r>
      <w:r w:rsidR="00961D0B">
        <w:rPr>
          <w:rFonts w:ascii="仿宋_GB2312" w:eastAsia="仿宋_GB2312" w:hint="eastAsia"/>
          <w:sz w:val="32"/>
          <w:szCs w:val="32"/>
        </w:rPr>
        <w:t>增长</w:t>
      </w:r>
      <w:r w:rsidR="00277CF1">
        <w:rPr>
          <w:rFonts w:ascii="仿宋_GB2312" w:eastAsia="仿宋_GB2312" w:hint="eastAsia"/>
          <w:sz w:val="32"/>
          <w:szCs w:val="32"/>
        </w:rPr>
        <w:t>26.85</w:t>
      </w:r>
      <w:r w:rsidRPr="00CA539D">
        <w:rPr>
          <w:rFonts w:ascii="仿宋_GB2312" w:eastAsia="仿宋_GB2312" w:hint="eastAsia"/>
          <w:sz w:val="32"/>
          <w:szCs w:val="32"/>
        </w:rPr>
        <w:t>%。</w:t>
      </w:r>
    </w:p>
    <w:p w:rsidR="00F06D2A" w:rsidRDefault="00277CF1" w:rsidP="00277CF1">
      <w:pPr>
        <w:ind w:leftChars="-202" w:left="420" w:hangingChars="402" w:hanging="844"/>
        <w:rPr>
          <w:rFonts w:ascii="楷体_GB2312" w:eastAsia="楷体_GB2312" w:hAnsi="宋体"/>
          <w:b/>
          <w:sz w:val="32"/>
          <w:szCs w:val="32"/>
        </w:rPr>
      </w:pPr>
      <w:r>
        <w:rPr>
          <w:noProof/>
        </w:rPr>
        <w:drawing>
          <wp:inline distT="0" distB="0" distL="0" distR="0" wp14:anchorId="007F0E59" wp14:editId="08CFBFBD">
            <wp:extent cx="6134100" cy="323850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539D" w:rsidRPr="000D2860" w:rsidRDefault="00CA539D" w:rsidP="00F06D2A">
      <w:pPr>
        <w:ind w:firstLineChars="100" w:firstLine="321"/>
        <w:rPr>
          <w:rFonts w:ascii="仿宋_GB2312" w:eastAsia="仿宋_GB2312"/>
          <w:sz w:val="32"/>
          <w:szCs w:val="32"/>
        </w:rPr>
      </w:pPr>
      <w:r w:rsidRPr="00CA539D">
        <w:rPr>
          <w:rFonts w:ascii="楷体_GB2312" w:eastAsia="楷体_GB2312" w:hAnsi="宋体" w:hint="eastAsia"/>
          <w:b/>
          <w:sz w:val="32"/>
          <w:szCs w:val="32"/>
        </w:rPr>
        <w:t>（四）渠道分析</w:t>
      </w:r>
    </w:p>
    <w:p w:rsidR="00662A3A" w:rsidRDefault="00CA539D" w:rsidP="00E61B76">
      <w:pPr>
        <w:ind w:firstLineChars="200" w:firstLine="640"/>
        <w:rPr>
          <w:rFonts w:ascii="仿宋_GB2312" w:eastAsia="仿宋_GB2312" w:hAnsi="宋体"/>
          <w:sz w:val="32"/>
          <w:szCs w:val="32"/>
        </w:rPr>
      </w:pPr>
      <w:r w:rsidRPr="00CA539D">
        <w:rPr>
          <w:rFonts w:ascii="仿宋_GB2312" w:eastAsia="仿宋_GB2312" w:hAnsi="宋体" w:hint="eastAsia"/>
          <w:sz w:val="32"/>
          <w:szCs w:val="32"/>
        </w:rPr>
        <w:t>截至</w:t>
      </w:r>
      <w:r w:rsidR="00277CF1">
        <w:rPr>
          <w:rFonts w:ascii="仿宋_GB2312" w:eastAsia="仿宋_GB2312" w:hAnsi="宋体" w:hint="eastAsia"/>
          <w:sz w:val="32"/>
          <w:szCs w:val="32"/>
        </w:rPr>
        <w:t>9</w:t>
      </w:r>
      <w:r w:rsidRPr="00CA539D">
        <w:rPr>
          <w:rFonts w:ascii="仿宋_GB2312" w:eastAsia="仿宋_GB2312" w:hAnsi="宋体" w:hint="eastAsia"/>
          <w:sz w:val="32"/>
          <w:szCs w:val="32"/>
        </w:rPr>
        <w:t>月</w:t>
      </w:r>
      <w:r w:rsidR="004B677B">
        <w:rPr>
          <w:rFonts w:ascii="仿宋_GB2312" w:eastAsia="仿宋_GB2312" w:hAnsi="宋体" w:hint="eastAsia"/>
          <w:sz w:val="32"/>
          <w:szCs w:val="32"/>
        </w:rPr>
        <w:t>30</w:t>
      </w:r>
      <w:r w:rsidRPr="00CA539D">
        <w:rPr>
          <w:rFonts w:ascii="仿宋_GB2312" w:eastAsia="仿宋_GB2312" w:hAnsi="宋体" w:hint="eastAsia"/>
          <w:sz w:val="32"/>
          <w:szCs w:val="32"/>
        </w:rPr>
        <w:t>日，全地区</w:t>
      </w:r>
      <w:proofErr w:type="gramStart"/>
      <w:r w:rsidR="004B677B">
        <w:rPr>
          <w:rFonts w:ascii="仿宋_GB2312" w:eastAsia="仿宋_GB2312" w:hAnsi="宋体" w:hint="eastAsia"/>
          <w:sz w:val="32"/>
          <w:szCs w:val="32"/>
        </w:rPr>
        <w:t>个</w:t>
      </w:r>
      <w:proofErr w:type="gramEnd"/>
      <w:r w:rsidR="004B677B">
        <w:rPr>
          <w:rFonts w:ascii="仿宋_GB2312" w:eastAsia="仿宋_GB2312" w:hAnsi="宋体" w:hint="eastAsia"/>
          <w:sz w:val="32"/>
          <w:szCs w:val="32"/>
        </w:rPr>
        <w:t>险、</w:t>
      </w:r>
      <w:r w:rsidR="004B677B" w:rsidRPr="00CA539D">
        <w:rPr>
          <w:rFonts w:ascii="仿宋_GB2312" w:eastAsia="仿宋_GB2312" w:hAnsi="宋体" w:hint="eastAsia"/>
          <w:sz w:val="32"/>
          <w:szCs w:val="32"/>
        </w:rPr>
        <w:t>团</w:t>
      </w:r>
      <w:proofErr w:type="gramStart"/>
      <w:r w:rsidR="004B677B" w:rsidRPr="00CA539D">
        <w:rPr>
          <w:rFonts w:ascii="仿宋_GB2312" w:eastAsia="仿宋_GB2312" w:hAnsi="宋体" w:hint="eastAsia"/>
          <w:sz w:val="32"/>
          <w:szCs w:val="32"/>
        </w:rPr>
        <w:t>险渠道</w:t>
      </w:r>
      <w:r w:rsidRPr="00CA539D">
        <w:rPr>
          <w:rFonts w:ascii="仿宋_GB2312" w:eastAsia="仿宋_GB2312" w:hAnsi="宋体" w:hint="eastAsia"/>
          <w:sz w:val="32"/>
          <w:szCs w:val="32"/>
        </w:rPr>
        <w:t>呈</w:t>
      </w:r>
      <w:proofErr w:type="gramEnd"/>
      <w:r w:rsidRPr="00CA539D">
        <w:rPr>
          <w:rFonts w:ascii="仿宋_GB2312" w:eastAsia="仿宋_GB2312" w:hAnsi="宋体" w:hint="eastAsia"/>
          <w:sz w:val="32"/>
          <w:szCs w:val="32"/>
        </w:rPr>
        <w:t>增长态势，</w:t>
      </w:r>
      <w:r w:rsidR="004B677B" w:rsidRPr="00CA539D">
        <w:rPr>
          <w:rFonts w:ascii="仿宋_GB2312" w:eastAsia="仿宋_GB2312" w:hAnsi="宋体" w:hint="eastAsia"/>
          <w:sz w:val="32"/>
          <w:szCs w:val="32"/>
        </w:rPr>
        <w:t>银</w:t>
      </w:r>
      <w:proofErr w:type="gramStart"/>
      <w:r w:rsidR="004B677B" w:rsidRPr="00CA539D">
        <w:rPr>
          <w:rFonts w:ascii="仿宋_GB2312" w:eastAsia="仿宋_GB2312" w:hAnsi="宋体" w:hint="eastAsia"/>
          <w:sz w:val="32"/>
          <w:szCs w:val="32"/>
        </w:rPr>
        <w:t>代渠道</w:t>
      </w:r>
      <w:proofErr w:type="gramEnd"/>
      <w:r w:rsidR="00004651">
        <w:rPr>
          <w:rFonts w:ascii="仿宋_GB2312" w:eastAsia="仿宋_GB2312" w:hAnsi="宋体" w:hint="eastAsia"/>
          <w:sz w:val="32"/>
          <w:szCs w:val="32"/>
        </w:rPr>
        <w:t>出现下滑，其中：</w:t>
      </w:r>
      <w:proofErr w:type="gramStart"/>
      <w:r w:rsidR="00004651">
        <w:rPr>
          <w:rFonts w:ascii="仿宋_GB2312" w:eastAsia="仿宋_GB2312" w:hAnsi="宋体" w:hint="eastAsia"/>
          <w:sz w:val="32"/>
          <w:szCs w:val="32"/>
        </w:rPr>
        <w:t>个险渠道</w:t>
      </w:r>
      <w:proofErr w:type="gramEnd"/>
      <w:r w:rsidR="00004651">
        <w:rPr>
          <w:rFonts w:ascii="仿宋_GB2312" w:eastAsia="仿宋_GB2312" w:hAnsi="宋体" w:hint="eastAsia"/>
          <w:sz w:val="32"/>
          <w:szCs w:val="32"/>
        </w:rPr>
        <w:t>保费收入</w:t>
      </w:r>
      <w:r w:rsidR="00AB6744">
        <w:rPr>
          <w:rFonts w:ascii="仿宋_GB2312" w:eastAsia="仿宋_GB2312" w:hAnsi="宋体" w:hint="eastAsia"/>
          <w:sz w:val="32"/>
          <w:szCs w:val="32"/>
        </w:rPr>
        <w:t>222</w:t>
      </w:r>
      <w:r w:rsidRPr="00CA539D">
        <w:rPr>
          <w:rFonts w:ascii="仿宋_GB2312" w:eastAsia="仿宋_GB2312" w:hAnsi="宋体" w:hint="eastAsia"/>
          <w:sz w:val="32"/>
          <w:szCs w:val="32"/>
        </w:rPr>
        <w:t>,</w:t>
      </w:r>
      <w:r w:rsidR="00AB6744">
        <w:rPr>
          <w:rFonts w:ascii="仿宋_GB2312" w:eastAsia="仿宋_GB2312" w:hAnsi="宋体" w:hint="eastAsia"/>
          <w:sz w:val="32"/>
          <w:szCs w:val="32"/>
        </w:rPr>
        <w:t>292</w:t>
      </w:r>
      <w:r w:rsidRPr="00CA539D">
        <w:rPr>
          <w:rFonts w:ascii="仿宋_GB2312" w:eastAsia="仿宋_GB2312" w:hAnsi="宋体" w:hint="eastAsia"/>
          <w:sz w:val="32"/>
          <w:szCs w:val="32"/>
        </w:rPr>
        <w:t>万元，同比</w:t>
      </w:r>
      <w:r w:rsidR="004B677B">
        <w:rPr>
          <w:rFonts w:ascii="仿宋_GB2312" w:eastAsia="仿宋_GB2312" w:hAnsi="宋体" w:hint="eastAsia"/>
          <w:sz w:val="32"/>
          <w:szCs w:val="32"/>
        </w:rPr>
        <w:t>增加</w:t>
      </w:r>
      <w:r w:rsidR="00AB6744">
        <w:rPr>
          <w:rFonts w:ascii="仿宋_GB2312" w:eastAsia="仿宋_GB2312" w:hAnsi="宋体" w:hint="eastAsia"/>
          <w:sz w:val="32"/>
          <w:szCs w:val="32"/>
        </w:rPr>
        <w:t>10</w:t>
      </w:r>
      <w:r w:rsidR="00396D10">
        <w:rPr>
          <w:rFonts w:ascii="仿宋_GB2312" w:eastAsia="仿宋_GB2312" w:hAnsi="宋体" w:hint="eastAsia"/>
          <w:sz w:val="32"/>
          <w:szCs w:val="32"/>
        </w:rPr>
        <w:t>,</w:t>
      </w:r>
      <w:r w:rsidR="00AB6744">
        <w:rPr>
          <w:rFonts w:ascii="仿宋_GB2312" w:eastAsia="仿宋_GB2312" w:hAnsi="宋体" w:hint="eastAsia"/>
          <w:sz w:val="32"/>
          <w:szCs w:val="32"/>
        </w:rPr>
        <w:t>198</w:t>
      </w:r>
      <w:r w:rsidRPr="00CA539D">
        <w:rPr>
          <w:rFonts w:ascii="仿宋_GB2312" w:eastAsia="仿宋_GB2312" w:hAnsi="宋体" w:hint="eastAsia"/>
          <w:sz w:val="32"/>
          <w:szCs w:val="32"/>
        </w:rPr>
        <w:t>万元，</w:t>
      </w:r>
      <w:r w:rsidR="00004651">
        <w:rPr>
          <w:rFonts w:ascii="仿宋_GB2312" w:eastAsia="仿宋_GB2312" w:hAnsi="宋体" w:hint="eastAsia"/>
          <w:sz w:val="32"/>
          <w:szCs w:val="32"/>
        </w:rPr>
        <w:t>同比</w:t>
      </w:r>
      <w:r w:rsidR="004B677B">
        <w:rPr>
          <w:rFonts w:ascii="仿宋_GB2312" w:eastAsia="仿宋_GB2312" w:hAnsi="宋体" w:hint="eastAsia"/>
          <w:sz w:val="32"/>
          <w:szCs w:val="32"/>
        </w:rPr>
        <w:t>增长</w:t>
      </w:r>
      <w:r w:rsidR="00AB6744">
        <w:rPr>
          <w:rFonts w:ascii="仿宋_GB2312" w:eastAsia="仿宋_GB2312" w:hAnsi="宋体" w:hint="eastAsia"/>
          <w:sz w:val="32"/>
          <w:szCs w:val="32"/>
        </w:rPr>
        <w:t>4.81</w:t>
      </w:r>
      <w:r w:rsidRPr="00CA539D">
        <w:rPr>
          <w:rFonts w:ascii="仿宋_GB2312" w:eastAsia="仿宋_GB2312" w:hAnsi="宋体" w:hint="eastAsia"/>
          <w:sz w:val="32"/>
          <w:szCs w:val="32"/>
        </w:rPr>
        <w:t>%；团</w:t>
      </w:r>
      <w:proofErr w:type="gramStart"/>
      <w:r w:rsidRPr="00CA539D">
        <w:rPr>
          <w:rFonts w:ascii="仿宋_GB2312" w:eastAsia="仿宋_GB2312" w:hAnsi="宋体" w:hint="eastAsia"/>
          <w:sz w:val="32"/>
          <w:szCs w:val="32"/>
        </w:rPr>
        <w:t>险渠道</w:t>
      </w:r>
      <w:proofErr w:type="gramEnd"/>
      <w:r w:rsidRPr="00CA539D">
        <w:rPr>
          <w:rFonts w:ascii="仿宋_GB2312" w:eastAsia="仿宋_GB2312" w:hAnsi="宋体" w:hint="eastAsia"/>
          <w:sz w:val="32"/>
          <w:szCs w:val="32"/>
        </w:rPr>
        <w:t>保费</w:t>
      </w:r>
      <w:r w:rsidR="00004651">
        <w:rPr>
          <w:rFonts w:ascii="仿宋_GB2312" w:eastAsia="仿宋_GB2312" w:hAnsi="宋体" w:hint="eastAsia"/>
          <w:sz w:val="32"/>
          <w:szCs w:val="32"/>
        </w:rPr>
        <w:t>收入</w:t>
      </w:r>
      <w:r w:rsidR="00AB6744">
        <w:rPr>
          <w:rFonts w:ascii="仿宋_GB2312" w:eastAsia="仿宋_GB2312" w:hAnsi="宋体" w:hint="eastAsia"/>
          <w:sz w:val="32"/>
          <w:szCs w:val="32"/>
        </w:rPr>
        <w:t>15</w:t>
      </w:r>
      <w:r w:rsidRPr="00CA539D">
        <w:rPr>
          <w:rFonts w:ascii="仿宋_GB2312" w:eastAsia="仿宋_GB2312" w:hAnsi="宋体" w:hint="eastAsia"/>
          <w:sz w:val="32"/>
          <w:szCs w:val="32"/>
        </w:rPr>
        <w:t>,</w:t>
      </w:r>
      <w:r w:rsidR="00AB6744">
        <w:rPr>
          <w:rFonts w:ascii="仿宋_GB2312" w:eastAsia="仿宋_GB2312" w:hAnsi="宋体" w:hint="eastAsia"/>
          <w:sz w:val="32"/>
          <w:szCs w:val="32"/>
        </w:rPr>
        <w:t>776</w:t>
      </w:r>
      <w:r w:rsidRPr="00CA539D">
        <w:rPr>
          <w:rFonts w:ascii="仿宋_GB2312" w:eastAsia="仿宋_GB2312" w:hAnsi="宋体" w:hint="eastAsia"/>
          <w:sz w:val="32"/>
          <w:szCs w:val="32"/>
        </w:rPr>
        <w:t>万元，同比</w:t>
      </w:r>
      <w:r w:rsidR="004B677B">
        <w:rPr>
          <w:rFonts w:ascii="仿宋_GB2312" w:eastAsia="仿宋_GB2312" w:hAnsi="宋体" w:hint="eastAsia"/>
          <w:sz w:val="32"/>
          <w:szCs w:val="32"/>
        </w:rPr>
        <w:t>增长</w:t>
      </w:r>
      <w:r w:rsidR="00AB6744">
        <w:rPr>
          <w:rFonts w:ascii="仿宋_GB2312" w:eastAsia="仿宋_GB2312" w:hAnsi="宋体" w:hint="eastAsia"/>
          <w:sz w:val="32"/>
          <w:szCs w:val="32"/>
        </w:rPr>
        <w:t>870</w:t>
      </w:r>
      <w:r w:rsidRPr="00CA539D">
        <w:rPr>
          <w:rFonts w:ascii="仿宋_GB2312" w:eastAsia="仿宋_GB2312" w:hAnsi="宋体" w:hint="eastAsia"/>
          <w:sz w:val="32"/>
          <w:szCs w:val="32"/>
        </w:rPr>
        <w:t>万元，</w:t>
      </w:r>
      <w:r w:rsidR="00004651">
        <w:rPr>
          <w:rFonts w:ascii="仿宋_GB2312" w:eastAsia="仿宋_GB2312" w:hAnsi="宋体" w:hint="eastAsia"/>
          <w:sz w:val="32"/>
          <w:szCs w:val="32"/>
        </w:rPr>
        <w:t>同比</w:t>
      </w:r>
      <w:r w:rsidR="004B677B">
        <w:rPr>
          <w:rFonts w:ascii="仿宋_GB2312" w:eastAsia="仿宋_GB2312" w:hAnsi="宋体" w:hint="eastAsia"/>
          <w:sz w:val="32"/>
          <w:szCs w:val="32"/>
        </w:rPr>
        <w:t>增长</w:t>
      </w:r>
      <w:r w:rsidR="00AB6744">
        <w:rPr>
          <w:rFonts w:ascii="仿宋_GB2312" w:eastAsia="仿宋_GB2312" w:hAnsi="宋体" w:hint="eastAsia"/>
          <w:sz w:val="32"/>
          <w:szCs w:val="32"/>
        </w:rPr>
        <w:t>5.83</w:t>
      </w:r>
      <w:r w:rsidRPr="00CA539D">
        <w:rPr>
          <w:rFonts w:ascii="仿宋_GB2312" w:eastAsia="仿宋_GB2312" w:hAnsi="宋体" w:hint="eastAsia"/>
          <w:sz w:val="32"/>
          <w:szCs w:val="32"/>
        </w:rPr>
        <w:t>%</w:t>
      </w:r>
      <w:r w:rsidR="00004651">
        <w:rPr>
          <w:rFonts w:ascii="仿宋_GB2312" w:eastAsia="仿宋_GB2312" w:hAnsi="宋体" w:hint="eastAsia"/>
          <w:sz w:val="32"/>
          <w:szCs w:val="32"/>
        </w:rPr>
        <w:t>；银</w:t>
      </w:r>
      <w:proofErr w:type="gramStart"/>
      <w:r w:rsidR="00004651">
        <w:rPr>
          <w:rFonts w:ascii="仿宋_GB2312" w:eastAsia="仿宋_GB2312" w:hAnsi="宋体" w:hint="eastAsia"/>
          <w:sz w:val="32"/>
          <w:szCs w:val="32"/>
        </w:rPr>
        <w:t>代渠道</w:t>
      </w:r>
      <w:proofErr w:type="gramEnd"/>
      <w:r w:rsidR="00004651">
        <w:rPr>
          <w:rFonts w:ascii="仿宋_GB2312" w:eastAsia="仿宋_GB2312" w:hAnsi="宋体" w:hint="eastAsia"/>
          <w:sz w:val="32"/>
          <w:szCs w:val="32"/>
        </w:rPr>
        <w:t>保费收入</w:t>
      </w:r>
      <w:r w:rsidR="00AB6744">
        <w:rPr>
          <w:rFonts w:ascii="仿宋_GB2312" w:eastAsia="仿宋_GB2312" w:hAnsi="宋体" w:hint="eastAsia"/>
          <w:sz w:val="32"/>
          <w:szCs w:val="32"/>
        </w:rPr>
        <w:t>88</w:t>
      </w:r>
      <w:r w:rsidRPr="00CA539D">
        <w:rPr>
          <w:rFonts w:ascii="仿宋_GB2312" w:eastAsia="仿宋_GB2312" w:hAnsi="宋体" w:hint="eastAsia"/>
          <w:sz w:val="32"/>
          <w:szCs w:val="32"/>
        </w:rPr>
        <w:t>,</w:t>
      </w:r>
      <w:r w:rsidR="00AB6744">
        <w:rPr>
          <w:rFonts w:ascii="仿宋_GB2312" w:eastAsia="仿宋_GB2312" w:hAnsi="宋体" w:hint="eastAsia"/>
          <w:sz w:val="32"/>
          <w:szCs w:val="32"/>
        </w:rPr>
        <w:t>870</w:t>
      </w:r>
      <w:r w:rsidRPr="00CA539D">
        <w:rPr>
          <w:rFonts w:ascii="仿宋_GB2312" w:eastAsia="仿宋_GB2312" w:hAnsi="宋体" w:hint="eastAsia"/>
          <w:sz w:val="32"/>
          <w:szCs w:val="32"/>
        </w:rPr>
        <w:t>万元，其中：新单保费</w:t>
      </w:r>
      <w:r w:rsidR="00004651">
        <w:rPr>
          <w:rFonts w:ascii="仿宋_GB2312" w:eastAsia="仿宋_GB2312" w:hAnsi="宋体" w:hint="eastAsia"/>
          <w:sz w:val="32"/>
          <w:szCs w:val="32"/>
        </w:rPr>
        <w:t>收入</w:t>
      </w:r>
      <w:r w:rsidR="00AB6744">
        <w:rPr>
          <w:rFonts w:ascii="仿宋_GB2312" w:eastAsia="仿宋_GB2312" w:hAnsi="宋体" w:hint="eastAsia"/>
          <w:sz w:val="32"/>
          <w:szCs w:val="32"/>
        </w:rPr>
        <w:t>50</w:t>
      </w:r>
      <w:r w:rsidRPr="00CA539D">
        <w:rPr>
          <w:rFonts w:ascii="仿宋_GB2312" w:eastAsia="仿宋_GB2312" w:hAnsi="宋体" w:hint="eastAsia"/>
          <w:sz w:val="32"/>
          <w:szCs w:val="32"/>
        </w:rPr>
        <w:t>,</w:t>
      </w:r>
      <w:r w:rsidR="00AB6744">
        <w:rPr>
          <w:rFonts w:ascii="仿宋_GB2312" w:eastAsia="仿宋_GB2312" w:hAnsi="宋体" w:hint="eastAsia"/>
          <w:sz w:val="32"/>
          <w:szCs w:val="32"/>
        </w:rPr>
        <w:t>972</w:t>
      </w:r>
      <w:r w:rsidRPr="00CA539D">
        <w:rPr>
          <w:rFonts w:ascii="仿宋_GB2312" w:eastAsia="仿宋_GB2312" w:hAnsi="宋体" w:hint="eastAsia"/>
          <w:sz w:val="32"/>
          <w:szCs w:val="32"/>
        </w:rPr>
        <w:t>万元，续期保费</w:t>
      </w:r>
      <w:r w:rsidR="00004651">
        <w:rPr>
          <w:rFonts w:ascii="仿宋_GB2312" w:eastAsia="仿宋_GB2312" w:hAnsi="宋体" w:hint="eastAsia"/>
          <w:sz w:val="32"/>
          <w:szCs w:val="32"/>
        </w:rPr>
        <w:t>收入</w:t>
      </w:r>
      <w:r w:rsidR="00AB6744">
        <w:rPr>
          <w:rFonts w:ascii="仿宋_GB2312" w:eastAsia="仿宋_GB2312" w:hAnsi="宋体" w:hint="eastAsia"/>
          <w:sz w:val="32"/>
          <w:szCs w:val="32"/>
        </w:rPr>
        <w:t>37</w:t>
      </w:r>
      <w:r w:rsidRPr="00CA539D">
        <w:rPr>
          <w:rFonts w:ascii="仿宋_GB2312" w:eastAsia="仿宋_GB2312" w:hAnsi="宋体" w:hint="eastAsia"/>
          <w:sz w:val="32"/>
          <w:szCs w:val="32"/>
        </w:rPr>
        <w:t>,</w:t>
      </w:r>
      <w:r w:rsidR="00AB6744">
        <w:rPr>
          <w:rFonts w:ascii="仿宋_GB2312" w:eastAsia="仿宋_GB2312" w:hAnsi="宋体" w:hint="eastAsia"/>
          <w:sz w:val="32"/>
          <w:szCs w:val="32"/>
        </w:rPr>
        <w:t>898</w:t>
      </w:r>
      <w:r w:rsidRPr="00CA539D">
        <w:rPr>
          <w:rFonts w:ascii="仿宋_GB2312" w:eastAsia="仿宋_GB2312" w:hAnsi="宋体" w:hint="eastAsia"/>
          <w:sz w:val="32"/>
          <w:szCs w:val="32"/>
        </w:rPr>
        <w:t>万元，银</w:t>
      </w:r>
      <w:proofErr w:type="gramStart"/>
      <w:r w:rsidRPr="00CA539D">
        <w:rPr>
          <w:rFonts w:ascii="仿宋_GB2312" w:eastAsia="仿宋_GB2312" w:hAnsi="宋体" w:hint="eastAsia"/>
          <w:sz w:val="32"/>
          <w:szCs w:val="32"/>
        </w:rPr>
        <w:t>代渠道</w:t>
      </w:r>
      <w:proofErr w:type="gramEnd"/>
      <w:r w:rsidRPr="00CA539D">
        <w:rPr>
          <w:rFonts w:ascii="仿宋_GB2312" w:eastAsia="仿宋_GB2312" w:hAnsi="宋体" w:hint="eastAsia"/>
          <w:sz w:val="32"/>
          <w:szCs w:val="32"/>
        </w:rPr>
        <w:t>同比</w:t>
      </w:r>
      <w:r w:rsidR="000A1767">
        <w:rPr>
          <w:rFonts w:ascii="仿宋_GB2312" w:eastAsia="仿宋_GB2312" w:hAnsi="宋体" w:hint="eastAsia"/>
          <w:sz w:val="32"/>
          <w:szCs w:val="32"/>
        </w:rPr>
        <w:t>下降0.01</w:t>
      </w:r>
      <w:r w:rsidR="00D546FF">
        <w:rPr>
          <w:rFonts w:ascii="仿宋_GB2312" w:eastAsia="仿宋_GB2312" w:hAnsi="宋体" w:hint="eastAsia"/>
          <w:sz w:val="32"/>
          <w:szCs w:val="32"/>
        </w:rPr>
        <w:t>%</w:t>
      </w:r>
      <w:r w:rsidRPr="00CA539D">
        <w:rPr>
          <w:rFonts w:ascii="仿宋_GB2312" w:eastAsia="仿宋_GB2312" w:hAnsi="宋体" w:hint="eastAsia"/>
          <w:sz w:val="32"/>
          <w:szCs w:val="32"/>
        </w:rPr>
        <w:t>。</w:t>
      </w:r>
    </w:p>
    <w:p w:rsidR="00CA539D" w:rsidRPr="00497853" w:rsidRDefault="004879D3" w:rsidP="004879D3">
      <w:pPr>
        <w:ind w:leftChars="-67" w:hangingChars="67" w:hanging="141"/>
        <w:rPr>
          <w:rFonts w:ascii="仿宋_GB2312" w:eastAsia="仿宋_GB2312" w:hAnsi="仿宋" w:cstheme="minorBidi"/>
          <w:kern w:val="24"/>
          <w:sz w:val="32"/>
          <w:szCs w:val="32"/>
        </w:rPr>
      </w:pPr>
      <w:r>
        <w:rPr>
          <w:noProof/>
        </w:rPr>
        <w:lastRenderedPageBreak/>
        <w:drawing>
          <wp:inline distT="0" distB="0" distL="0" distR="0" wp14:anchorId="23D6964D" wp14:editId="018FEDF4">
            <wp:extent cx="6010275" cy="3057525"/>
            <wp:effectExtent l="0" t="0" r="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539D" w:rsidRPr="00CA539D" w:rsidRDefault="00B7214F" w:rsidP="00CA539D">
      <w:pPr>
        <w:ind w:leftChars="67" w:left="141" w:rightChars="-364" w:right="-764" w:firstLineChars="132" w:firstLine="424"/>
        <w:rPr>
          <w:rFonts w:ascii="仿宋_GB2312" w:eastAsia="仿宋_GB2312" w:hAnsi="宋体"/>
          <w:b/>
          <w:sz w:val="32"/>
          <w:szCs w:val="32"/>
        </w:rPr>
      </w:pPr>
      <w:r>
        <w:rPr>
          <w:rFonts w:ascii="仿宋_GB2312" w:eastAsia="仿宋_GB2312" w:hAnsi="宋体" w:hint="eastAsia"/>
          <w:b/>
          <w:sz w:val="32"/>
          <w:szCs w:val="32"/>
        </w:rPr>
        <w:t>1</w:t>
      </w:r>
      <w:r w:rsidR="00CA539D" w:rsidRPr="00CA539D">
        <w:rPr>
          <w:rFonts w:ascii="仿宋_GB2312" w:eastAsia="仿宋_GB2312" w:hAnsi="宋体" w:hint="eastAsia"/>
          <w:b/>
          <w:sz w:val="32"/>
          <w:szCs w:val="32"/>
        </w:rPr>
        <w:t>.</w:t>
      </w:r>
      <w:proofErr w:type="gramStart"/>
      <w:r w:rsidR="00CA539D" w:rsidRPr="00CA539D">
        <w:rPr>
          <w:rFonts w:ascii="仿宋_GB2312" w:eastAsia="仿宋_GB2312" w:hAnsi="宋体" w:hint="eastAsia"/>
          <w:b/>
          <w:sz w:val="32"/>
          <w:szCs w:val="32"/>
        </w:rPr>
        <w:t>个</w:t>
      </w:r>
      <w:proofErr w:type="gramEnd"/>
      <w:r w:rsidR="00CA539D" w:rsidRPr="00CA539D">
        <w:rPr>
          <w:rFonts w:ascii="仿宋_GB2312" w:eastAsia="仿宋_GB2312" w:hAnsi="宋体" w:hint="eastAsia"/>
          <w:b/>
          <w:sz w:val="32"/>
          <w:szCs w:val="32"/>
        </w:rPr>
        <w:t>险保费</w:t>
      </w:r>
    </w:p>
    <w:p w:rsidR="002A3A1D" w:rsidRDefault="00CA539D" w:rsidP="00CA539D">
      <w:pPr>
        <w:ind w:firstLineChars="177" w:firstLine="566"/>
        <w:rPr>
          <w:rFonts w:ascii="仿宋_GB2312" w:eastAsia="仿宋_GB2312" w:hAnsi="仿宋"/>
          <w:sz w:val="32"/>
          <w:szCs w:val="32"/>
        </w:rPr>
      </w:pPr>
      <w:r w:rsidRPr="00CA539D">
        <w:rPr>
          <w:rFonts w:ascii="仿宋_GB2312" w:eastAsia="仿宋_GB2312" w:hAnsi="仿宋" w:hint="eastAsia"/>
          <w:sz w:val="32"/>
          <w:szCs w:val="32"/>
        </w:rPr>
        <w:t>截至</w:t>
      </w:r>
      <w:r w:rsidR="000429DE">
        <w:rPr>
          <w:rFonts w:ascii="仿宋_GB2312" w:eastAsia="仿宋_GB2312" w:hAnsi="仿宋" w:hint="eastAsia"/>
          <w:sz w:val="32"/>
          <w:szCs w:val="32"/>
        </w:rPr>
        <w:t>9</w:t>
      </w:r>
      <w:r w:rsidRPr="00CA539D">
        <w:rPr>
          <w:rFonts w:ascii="仿宋_GB2312" w:eastAsia="仿宋_GB2312" w:hAnsi="仿宋" w:hint="eastAsia"/>
          <w:sz w:val="32"/>
          <w:szCs w:val="32"/>
        </w:rPr>
        <w:t>月</w:t>
      </w:r>
      <w:r w:rsidR="0083018E">
        <w:rPr>
          <w:rFonts w:ascii="仿宋_GB2312" w:eastAsia="仿宋_GB2312" w:hAnsi="仿宋" w:hint="eastAsia"/>
          <w:sz w:val="32"/>
          <w:szCs w:val="32"/>
        </w:rPr>
        <w:t>30</w:t>
      </w:r>
      <w:r w:rsidR="00004651">
        <w:rPr>
          <w:rFonts w:ascii="仿宋_GB2312" w:eastAsia="仿宋_GB2312" w:hAnsi="仿宋" w:hint="eastAsia"/>
          <w:sz w:val="32"/>
          <w:szCs w:val="32"/>
        </w:rPr>
        <w:t>日，丹东地区</w:t>
      </w:r>
      <w:proofErr w:type="gramStart"/>
      <w:r w:rsidR="00004651">
        <w:rPr>
          <w:rFonts w:ascii="仿宋_GB2312" w:eastAsia="仿宋_GB2312" w:hAnsi="仿宋" w:hint="eastAsia"/>
          <w:sz w:val="32"/>
          <w:szCs w:val="32"/>
        </w:rPr>
        <w:t>个</w:t>
      </w:r>
      <w:proofErr w:type="gramEnd"/>
      <w:r w:rsidR="00004651">
        <w:rPr>
          <w:rFonts w:ascii="仿宋_GB2312" w:eastAsia="仿宋_GB2312" w:hAnsi="仿宋" w:hint="eastAsia"/>
          <w:sz w:val="32"/>
          <w:szCs w:val="32"/>
        </w:rPr>
        <w:t>险总保费收入</w:t>
      </w:r>
      <w:r w:rsidR="000429DE">
        <w:rPr>
          <w:rFonts w:ascii="仿宋_GB2312" w:eastAsia="仿宋_GB2312" w:hAnsi="仿宋" w:hint="eastAsia"/>
          <w:sz w:val="32"/>
          <w:szCs w:val="32"/>
        </w:rPr>
        <w:t>222</w:t>
      </w:r>
      <w:r w:rsidRPr="00CA539D">
        <w:rPr>
          <w:rFonts w:ascii="仿宋_GB2312" w:eastAsia="仿宋_GB2312" w:hAnsi="仿宋" w:hint="eastAsia"/>
          <w:sz w:val="32"/>
          <w:szCs w:val="32"/>
        </w:rPr>
        <w:t>,</w:t>
      </w:r>
      <w:r w:rsidR="000429DE">
        <w:rPr>
          <w:rFonts w:ascii="仿宋_GB2312" w:eastAsia="仿宋_GB2312" w:hAnsi="仿宋" w:hint="eastAsia"/>
          <w:sz w:val="32"/>
          <w:szCs w:val="32"/>
        </w:rPr>
        <w:t>292</w:t>
      </w:r>
      <w:r w:rsidRPr="00CA539D">
        <w:rPr>
          <w:rFonts w:ascii="仿宋_GB2312" w:eastAsia="仿宋_GB2312" w:hAnsi="仿宋" w:hint="eastAsia"/>
          <w:sz w:val="32"/>
          <w:szCs w:val="32"/>
        </w:rPr>
        <w:t>万元，同比</w:t>
      </w:r>
      <w:r w:rsidR="00057169">
        <w:rPr>
          <w:rFonts w:ascii="仿宋_GB2312" w:eastAsia="仿宋_GB2312" w:hAnsi="仿宋" w:hint="eastAsia"/>
          <w:sz w:val="32"/>
          <w:szCs w:val="32"/>
        </w:rPr>
        <w:t>增长</w:t>
      </w:r>
      <w:r w:rsidR="000429DE">
        <w:rPr>
          <w:rFonts w:ascii="仿宋_GB2312" w:eastAsia="仿宋_GB2312" w:hAnsi="仿宋" w:hint="eastAsia"/>
          <w:sz w:val="32"/>
          <w:szCs w:val="32"/>
        </w:rPr>
        <w:t>4.81</w:t>
      </w:r>
      <w:r w:rsidRPr="00CA539D">
        <w:rPr>
          <w:rFonts w:ascii="仿宋_GB2312" w:eastAsia="仿宋_GB2312" w:hAnsi="仿宋" w:hint="eastAsia"/>
          <w:sz w:val="32"/>
          <w:szCs w:val="32"/>
        </w:rPr>
        <w:t>%，丹东地区26家机构中</w:t>
      </w:r>
      <w:r w:rsidR="003B42C7">
        <w:rPr>
          <w:rFonts w:ascii="仿宋_GB2312" w:eastAsia="仿宋_GB2312" w:hAnsi="仿宋" w:hint="eastAsia"/>
          <w:sz w:val="32"/>
          <w:szCs w:val="32"/>
        </w:rPr>
        <w:t>有数据可比的</w:t>
      </w:r>
      <w:r w:rsidR="0068550C">
        <w:rPr>
          <w:rFonts w:ascii="仿宋_GB2312" w:eastAsia="仿宋_GB2312" w:hAnsi="仿宋" w:hint="eastAsia"/>
          <w:sz w:val="32"/>
          <w:szCs w:val="32"/>
        </w:rPr>
        <w:t>1</w:t>
      </w:r>
      <w:r w:rsidR="000429DE">
        <w:rPr>
          <w:rFonts w:ascii="仿宋_GB2312" w:eastAsia="仿宋_GB2312" w:hAnsi="仿宋" w:hint="eastAsia"/>
          <w:sz w:val="32"/>
          <w:szCs w:val="32"/>
        </w:rPr>
        <w:t>1</w:t>
      </w:r>
      <w:r w:rsidRPr="00CA539D">
        <w:rPr>
          <w:rFonts w:ascii="仿宋_GB2312" w:eastAsia="仿宋_GB2312" w:hAnsi="仿宋" w:hint="eastAsia"/>
          <w:sz w:val="32"/>
          <w:szCs w:val="32"/>
        </w:rPr>
        <w:t>家实现正增长，其中：</w:t>
      </w:r>
      <w:r w:rsidR="000429DE">
        <w:rPr>
          <w:rFonts w:ascii="仿宋_GB2312" w:eastAsia="仿宋_GB2312" w:hAnsi="仿宋" w:hint="eastAsia"/>
          <w:sz w:val="32"/>
          <w:szCs w:val="32"/>
        </w:rPr>
        <w:t>合众</w:t>
      </w:r>
      <w:r w:rsidRPr="00CA539D">
        <w:rPr>
          <w:rFonts w:ascii="仿宋_GB2312" w:eastAsia="仿宋_GB2312" w:hAnsi="仿宋" w:hint="eastAsia"/>
          <w:sz w:val="32"/>
          <w:szCs w:val="32"/>
        </w:rPr>
        <w:t>人寿、</w:t>
      </w:r>
      <w:r w:rsidR="000429DE">
        <w:rPr>
          <w:rFonts w:ascii="仿宋_GB2312" w:eastAsia="仿宋_GB2312" w:hAnsi="仿宋" w:hint="eastAsia"/>
          <w:sz w:val="32"/>
          <w:szCs w:val="32"/>
        </w:rPr>
        <w:t>英大泰和</w:t>
      </w:r>
      <w:r w:rsidRPr="00CA539D">
        <w:rPr>
          <w:rFonts w:ascii="仿宋_GB2312" w:eastAsia="仿宋_GB2312" w:hAnsi="仿宋" w:hint="eastAsia"/>
          <w:sz w:val="32"/>
          <w:szCs w:val="32"/>
        </w:rPr>
        <w:t>人寿</w:t>
      </w:r>
      <w:r w:rsidR="0068550C">
        <w:rPr>
          <w:rFonts w:ascii="仿宋_GB2312" w:eastAsia="仿宋_GB2312" w:hAnsi="仿宋" w:hint="eastAsia"/>
          <w:sz w:val="32"/>
          <w:szCs w:val="32"/>
        </w:rPr>
        <w:t>、</w:t>
      </w:r>
      <w:r w:rsidR="000429DE">
        <w:rPr>
          <w:rFonts w:ascii="仿宋_GB2312" w:eastAsia="仿宋_GB2312" w:hAnsi="仿宋" w:hint="eastAsia"/>
          <w:sz w:val="32"/>
          <w:szCs w:val="32"/>
        </w:rPr>
        <w:t>阳光</w:t>
      </w:r>
      <w:r w:rsidR="0068550C">
        <w:rPr>
          <w:rFonts w:ascii="仿宋_GB2312" w:eastAsia="仿宋_GB2312" w:hAnsi="仿宋" w:hint="eastAsia"/>
          <w:sz w:val="32"/>
          <w:szCs w:val="32"/>
        </w:rPr>
        <w:t>人寿</w:t>
      </w:r>
      <w:r w:rsidRPr="00CA539D">
        <w:rPr>
          <w:rFonts w:ascii="仿宋_GB2312" w:eastAsia="仿宋_GB2312" w:hAnsi="仿宋" w:hint="eastAsia"/>
          <w:sz w:val="32"/>
          <w:szCs w:val="32"/>
        </w:rPr>
        <w:t>增速居前3位，</w:t>
      </w:r>
      <w:r w:rsidR="00004651">
        <w:rPr>
          <w:rFonts w:ascii="仿宋_GB2312" w:eastAsia="仿宋_GB2312" w:hAnsi="仿宋" w:hint="eastAsia"/>
          <w:sz w:val="32"/>
          <w:szCs w:val="32"/>
        </w:rPr>
        <w:t>同比</w:t>
      </w:r>
      <w:r w:rsidRPr="00CA539D">
        <w:rPr>
          <w:rFonts w:ascii="仿宋_GB2312" w:eastAsia="仿宋_GB2312" w:hAnsi="仿宋" w:hint="eastAsia"/>
          <w:sz w:val="32"/>
          <w:szCs w:val="32"/>
        </w:rPr>
        <w:t>分别增长</w:t>
      </w:r>
      <w:r w:rsidR="000429DE">
        <w:rPr>
          <w:rFonts w:ascii="仿宋_GB2312" w:eastAsia="仿宋_GB2312" w:hAnsi="仿宋" w:hint="eastAsia"/>
          <w:sz w:val="32"/>
          <w:szCs w:val="32"/>
        </w:rPr>
        <w:t>84.81</w:t>
      </w:r>
      <w:r w:rsidRPr="00CA539D">
        <w:rPr>
          <w:rFonts w:ascii="仿宋_GB2312" w:eastAsia="仿宋_GB2312" w:hAnsi="仿宋" w:hint="eastAsia"/>
          <w:sz w:val="32"/>
          <w:szCs w:val="32"/>
        </w:rPr>
        <w:t>%、</w:t>
      </w:r>
      <w:r w:rsidR="000429DE">
        <w:rPr>
          <w:rFonts w:ascii="仿宋_GB2312" w:eastAsia="仿宋_GB2312" w:hAnsi="仿宋" w:hint="eastAsia"/>
          <w:sz w:val="32"/>
          <w:szCs w:val="32"/>
        </w:rPr>
        <w:t>25.98</w:t>
      </w:r>
      <w:r w:rsidRPr="00CA539D">
        <w:rPr>
          <w:rFonts w:ascii="仿宋_GB2312" w:eastAsia="仿宋_GB2312" w:hAnsi="仿宋" w:hint="eastAsia"/>
          <w:sz w:val="32"/>
          <w:szCs w:val="32"/>
        </w:rPr>
        <w:t>%和</w:t>
      </w:r>
      <w:r w:rsidR="000429DE">
        <w:rPr>
          <w:rFonts w:ascii="仿宋_GB2312" w:eastAsia="仿宋_GB2312" w:hAnsi="仿宋" w:hint="eastAsia"/>
          <w:sz w:val="32"/>
          <w:szCs w:val="32"/>
        </w:rPr>
        <w:t>23.81</w:t>
      </w:r>
      <w:r w:rsidRPr="00CA539D">
        <w:rPr>
          <w:rFonts w:ascii="仿宋_GB2312" w:eastAsia="仿宋_GB2312" w:hAnsi="仿宋" w:hint="eastAsia"/>
          <w:sz w:val="32"/>
          <w:szCs w:val="32"/>
        </w:rPr>
        <w:t>%；</w:t>
      </w:r>
      <w:r w:rsidR="000429DE">
        <w:rPr>
          <w:rFonts w:ascii="仿宋_GB2312" w:eastAsia="仿宋_GB2312" w:hAnsi="仿宋" w:hint="eastAsia"/>
          <w:sz w:val="32"/>
          <w:szCs w:val="32"/>
        </w:rPr>
        <w:t>9</w:t>
      </w:r>
      <w:r w:rsidRPr="00CA539D">
        <w:rPr>
          <w:rFonts w:ascii="仿宋_GB2312" w:eastAsia="仿宋_GB2312" w:hAnsi="仿宋" w:hint="eastAsia"/>
          <w:sz w:val="32"/>
          <w:szCs w:val="32"/>
        </w:rPr>
        <w:t>家机构出现</w:t>
      </w:r>
      <w:r w:rsidR="00004651">
        <w:rPr>
          <w:rFonts w:ascii="仿宋_GB2312" w:eastAsia="仿宋_GB2312" w:hAnsi="仿宋" w:hint="eastAsia"/>
          <w:sz w:val="32"/>
          <w:szCs w:val="32"/>
        </w:rPr>
        <w:t>下滑</w:t>
      </w:r>
      <w:r w:rsidRPr="00CA539D">
        <w:rPr>
          <w:rFonts w:ascii="仿宋_GB2312" w:eastAsia="仿宋_GB2312" w:hAnsi="仿宋" w:hint="eastAsia"/>
          <w:sz w:val="32"/>
          <w:szCs w:val="32"/>
        </w:rPr>
        <w:t>。</w:t>
      </w:r>
    </w:p>
    <w:p w:rsidR="00BB28A6" w:rsidRDefault="000429DE" w:rsidP="000429DE">
      <w:pPr>
        <w:ind w:leftChars="-406" w:left="-3" w:hangingChars="405" w:hanging="850"/>
        <w:rPr>
          <w:rFonts w:ascii="仿宋_GB2312" w:eastAsia="仿宋_GB2312" w:hAnsi="仿宋"/>
          <w:sz w:val="32"/>
          <w:szCs w:val="32"/>
        </w:rPr>
      </w:pPr>
      <w:r>
        <w:rPr>
          <w:noProof/>
        </w:rPr>
        <w:drawing>
          <wp:inline distT="0" distB="0" distL="0" distR="0" wp14:anchorId="39D11A4C" wp14:editId="2FD948F7">
            <wp:extent cx="6610350" cy="3238500"/>
            <wp:effectExtent l="0" t="0" r="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248E6" w:rsidRPr="00CA539D" w:rsidRDefault="004248E6" w:rsidP="004248E6">
      <w:pPr>
        <w:ind w:rightChars="-364" w:right="-764" w:firstLineChars="192" w:firstLine="617"/>
        <w:rPr>
          <w:rFonts w:ascii="仿宋_GB2312" w:eastAsia="仿宋_GB2312" w:hAnsi="宋体"/>
          <w:b/>
          <w:sz w:val="32"/>
          <w:szCs w:val="32"/>
        </w:rPr>
      </w:pPr>
      <w:r>
        <w:rPr>
          <w:rFonts w:ascii="仿宋_GB2312" w:eastAsia="仿宋_GB2312" w:hAnsi="宋体" w:hint="eastAsia"/>
          <w:b/>
          <w:sz w:val="32"/>
          <w:szCs w:val="32"/>
        </w:rPr>
        <w:lastRenderedPageBreak/>
        <w:t>其中：</w:t>
      </w:r>
      <w:proofErr w:type="gramStart"/>
      <w:r>
        <w:rPr>
          <w:rFonts w:ascii="仿宋_GB2312" w:eastAsia="仿宋_GB2312" w:hAnsi="宋体" w:hint="eastAsia"/>
          <w:b/>
          <w:sz w:val="32"/>
          <w:szCs w:val="32"/>
        </w:rPr>
        <w:t>个</w:t>
      </w:r>
      <w:proofErr w:type="gramEnd"/>
      <w:r>
        <w:rPr>
          <w:rFonts w:ascii="仿宋_GB2312" w:eastAsia="仿宋_GB2312" w:hAnsi="宋体" w:hint="eastAsia"/>
          <w:b/>
          <w:sz w:val="32"/>
          <w:szCs w:val="32"/>
        </w:rPr>
        <w:t>险新单</w:t>
      </w:r>
      <w:r w:rsidR="00635368">
        <w:rPr>
          <w:rFonts w:ascii="仿宋_GB2312" w:eastAsia="仿宋_GB2312" w:hAnsi="宋体" w:hint="eastAsia"/>
          <w:b/>
          <w:sz w:val="32"/>
          <w:szCs w:val="32"/>
        </w:rPr>
        <w:t>保费</w:t>
      </w:r>
    </w:p>
    <w:p w:rsidR="00DF5C21" w:rsidRDefault="00CA539D" w:rsidP="00DF5C21">
      <w:pPr>
        <w:ind w:firstLineChars="270" w:firstLine="864"/>
        <w:rPr>
          <w:rFonts w:ascii="仿宋_GB2312" w:eastAsia="仿宋_GB2312" w:cstheme="minorBidi"/>
          <w:kern w:val="24"/>
          <w:sz w:val="40"/>
          <w:szCs w:val="40"/>
        </w:rPr>
      </w:pPr>
      <w:r w:rsidRPr="00CA539D">
        <w:rPr>
          <w:rFonts w:ascii="仿宋_GB2312" w:eastAsia="仿宋_GB2312" w:hAnsi="仿宋" w:cstheme="minorBidi" w:hint="eastAsia"/>
          <w:kern w:val="24"/>
          <w:sz w:val="32"/>
          <w:szCs w:val="32"/>
        </w:rPr>
        <w:t>截至</w:t>
      </w:r>
      <w:r w:rsidR="0091721A">
        <w:rPr>
          <w:rFonts w:ascii="仿宋_GB2312" w:eastAsia="仿宋_GB2312" w:hAnsi="仿宋" w:cstheme="minorBidi" w:hint="eastAsia"/>
          <w:kern w:val="24"/>
          <w:sz w:val="32"/>
          <w:szCs w:val="32"/>
        </w:rPr>
        <w:t>9</w:t>
      </w:r>
      <w:r w:rsidRPr="00CA539D">
        <w:rPr>
          <w:rFonts w:ascii="仿宋_GB2312" w:eastAsia="仿宋_GB2312" w:hAnsi="仿宋" w:cstheme="minorBidi" w:hint="eastAsia"/>
          <w:kern w:val="24"/>
          <w:sz w:val="32"/>
          <w:szCs w:val="32"/>
        </w:rPr>
        <w:t>月</w:t>
      </w:r>
      <w:r w:rsidR="00FB429F">
        <w:rPr>
          <w:rFonts w:ascii="仿宋_GB2312" w:eastAsia="仿宋_GB2312" w:hAnsi="仿宋" w:cstheme="minorBidi" w:hint="eastAsia"/>
          <w:kern w:val="24"/>
          <w:sz w:val="32"/>
          <w:szCs w:val="32"/>
        </w:rPr>
        <w:t>30</w:t>
      </w:r>
      <w:r w:rsidR="00004651">
        <w:rPr>
          <w:rFonts w:ascii="仿宋_GB2312" w:eastAsia="仿宋_GB2312" w:hAnsi="仿宋" w:cstheme="minorBidi" w:hint="eastAsia"/>
          <w:kern w:val="24"/>
          <w:sz w:val="32"/>
          <w:szCs w:val="32"/>
        </w:rPr>
        <w:t>日，丹东地区</w:t>
      </w:r>
      <w:proofErr w:type="gramStart"/>
      <w:r w:rsidR="00004651">
        <w:rPr>
          <w:rFonts w:ascii="仿宋_GB2312" w:eastAsia="仿宋_GB2312" w:hAnsi="仿宋" w:cstheme="minorBidi" w:hint="eastAsia"/>
          <w:kern w:val="24"/>
          <w:sz w:val="32"/>
          <w:szCs w:val="32"/>
        </w:rPr>
        <w:t>个</w:t>
      </w:r>
      <w:proofErr w:type="gramEnd"/>
      <w:r w:rsidR="00004651">
        <w:rPr>
          <w:rFonts w:ascii="仿宋_GB2312" w:eastAsia="仿宋_GB2312" w:hAnsi="仿宋" w:cstheme="minorBidi" w:hint="eastAsia"/>
          <w:kern w:val="24"/>
          <w:sz w:val="32"/>
          <w:szCs w:val="32"/>
        </w:rPr>
        <w:t>险新单保费收入</w:t>
      </w:r>
      <w:r w:rsidR="0091721A">
        <w:rPr>
          <w:rFonts w:ascii="仿宋_GB2312" w:eastAsia="仿宋_GB2312" w:hAnsi="仿宋" w:cstheme="minorBidi" w:hint="eastAsia"/>
          <w:kern w:val="24"/>
          <w:sz w:val="32"/>
          <w:szCs w:val="32"/>
        </w:rPr>
        <w:t>43</w:t>
      </w:r>
      <w:r w:rsidRPr="00CA539D">
        <w:rPr>
          <w:rFonts w:ascii="仿宋_GB2312" w:eastAsia="仿宋_GB2312" w:hAnsi="仿宋" w:cstheme="minorBidi" w:hint="eastAsia"/>
          <w:kern w:val="24"/>
          <w:sz w:val="32"/>
          <w:szCs w:val="32"/>
        </w:rPr>
        <w:t>,</w:t>
      </w:r>
      <w:r w:rsidR="0091721A">
        <w:rPr>
          <w:rFonts w:ascii="仿宋_GB2312" w:eastAsia="仿宋_GB2312" w:hAnsi="仿宋" w:cstheme="minorBidi" w:hint="eastAsia"/>
          <w:kern w:val="24"/>
          <w:sz w:val="32"/>
          <w:szCs w:val="32"/>
        </w:rPr>
        <w:t>669</w:t>
      </w:r>
      <w:r w:rsidRPr="00CA539D">
        <w:rPr>
          <w:rFonts w:ascii="仿宋_GB2312" w:eastAsia="仿宋_GB2312" w:hAnsi="仿宋" w:cstheme="minorBidi" w:hint="eastAsia"/>
          <w:kern w:val="24"/>
          <w:sz w:val="32"/>
          <w:szCs w:val="32"/>
        </w:rPr>
        <w:t>万元，同比下降</w:t>
      </w:r>
      <w:r w:rsidR="0091721A">
        <w:rPr>
          <w:rFonts w:ascii="仿宋_GB2312" w:eastAsia="仿宋_GB2312" w:hAnsi="仿宋" w:cstheme="minorBidi" w:hint="eastAsia"/>
          <w:kern w:val="24"/>
          <w:sz w:val="32"/>
          <w:szCs w:val="32"/>
        </w:rPr>
        <w:t>9.45</w:t>
      </w:r>
      <w:r w:rsidRPr="00CA539D">
        <w:rPr>
          <w:rFonts w:ascii="仿宋_GB2312" w:eastAsia="仿宋_GB2312" w:hAnsi="仿宋" w:cstheme="minorBidi" w:hint="eastAsia"/>
          <w:kern w:val="24"/>
          <w:sz w:val="32"/>
          <w:szCs w:val="32"/>
        </w:rPr>
        <w:t>%，全市26家机构中有数据可比的</w:t>
      </w:r>
      <w:r w:rsidR="0091721A">
        <w:rPr>
          <w:rFonts w:ascii="仿宋_GB2312" w:eastAsia="仿宋_GB2312" w:hAnsi="仿宋" w:cstheme="minorBidi" w:hint="eastAsia"/>
          <w:kern w:val="24"/>
          <w:sz w:val="32"/>
          <w:szCs w:val="32"/>
        </w:rPr>
        <w:t>5</w:t>
      </w:r>
      <w:r w:rsidRPr="00CA539D">
        <w:rPr>
          <w:rFonts w:ascii="仿宋_GB2312" w:eastAsia="仿宋_GB2312" w:hAnsi="仿宋" w:cstheme="minorBidi" w:hint="eastAsia"/>
          <w:kern w:val="24"/>
          <w:sz w:val="32"/>
          <w:szCs w:val="32"/>
        </w:rPr>
        <w:t>家机构实现正增长，其中:</w:t>
      </w:r>
      <w:r w:rsidR="008560AD">
        <w:rPr>
          <w:rFonts w:ascii="仿宋_GB2312" w:eastAsia="仿宋_GB2312" w:hAnsi="仿宋" w:cstheme="minorBidi" w:hint="eastAsia"/>
          <w:kern w:val="24"/>
          <w:sz w:val="32"/>
          <w:szCs w:val="32"/>
        </w:rPr>
        <w:t>合众</w:t>
      </w:r>
      <w:r w:rsidRPr="00CA539D">
        <w:rPr>
          <w:rFonts w:ascii="仿宋_GB2312" w:eastAsia="仿宋_GB2312" w:hAnsi="仿宋" w:cstheme="minorBidi" w:hint="eastAsia"/>
          <w:kern w:val="24"/>
          <w:sz w:val="32"/>
          <w:szCs w:val="32"/>
        </w:rPr>
        <w:t>人寿、</w:t>
      </w:r>
      <w:r w:rsidR="008560AD">
        <w:rPr>
          <w:rFonts w:ascii="仿宋_GB2312" w:eastAsia="仿宋_GB2312" w:hAnsi="仿宋" w:cstheme="minorBidi" w:hint="eastAsia"/>
          <w:kern w:val="24"/>
          <w:sz w:val="32"/>
          <w:szCs w:val="32"/>
        </w:rPr>
        <w:t>阳光人寿、</w:t>
      </w:r>
      <w:r w:rsidR="0091721A">
        <w:rPr>
          <w:rFonts w:ascii="仿宋_GB2312" w:eastAsia="仿宋_GB2312" w:hAnsi="仿宋" w:cstheme="minorBidi" w:hint="eastAsia"/>
          <w:kern w:val="24"/>
          <w:sz w:val="32"/>
          <w:szCs w:val="32"/>
        </w:rPr>
        <w:t>中荷</w:t>
      </w:r>
      <w:r w:rsidRPr="00CA539D">
        <w:rPr>
          <w:rFonts w:ascii="仿宋_GB2312" w:eastAsia="仿宋_GB2312" w:hAnsi="仿宋" w:cstheme="minorBidi" w:hint="eastAsia"/>
          <w:kern w:val="24"/>
          <w:sz w:val="32"/>
          <w:szCs w:val="32"/>
        </w:rPr>
        <w:t>人寿增速居前3位，</w:t>
      </w:r>
      <w:r w:rsidR="00004651">
        <w:rPr>
          <w:rFonts w:ascii="仿宋_GB2312" w:eastAsia="仿宋_GB2312" w:hAnsi="仿宋" w:cstheme="minorBidi" w:hint="eastAsia"/>
          <w:kern w:val="24"/>
          <w:sz w:val="32"/>
          <w:szCs w:val="32"/>
        </w:rPr>
        <w:t>同比</w:t>
      </w:r>
      <w:r w:rsidRPr="00CA539D">
        <w:rPr>
          <w:rFonts w:ascii="仿宋_GB2312" w:eastAsia="仿宋_GB2312" w:hAnsi="仿宋" w:cstheme="minorBidi" w:hint="eastAsia"/>
          <w:kern w:val="24"/>
          <w:sz w:val="32"/>
          <w:szCs w:val="32"/>
        </w:rPr>
        <w:t>分别增长</w:t>
      </w:r>
      <w:r w:rsidR="0091721A">
        <w:rPr>
          <w:rFonts w:ascii="仿宋_GB2312" w:eastAsia="仿宋_GB2312" w:hAnsi="仿宋" w:cstheme="minorBidi" w:hint="eastAsia"/>
          <w:kern w:val="24"/>
          <w:sz w:val="32"/>
          <w:szCs w:val="32"/>
        </w:rPr>
        <w:t>291.95</w:t>
      </w:r>
      <w:r w:rsidRPr="00CA539D">
        <w:rPr>
          <w:rFonts w:ascii="仿宋_GB2312" w:eastAsia="仿宋_GB2312" w:hAnsi="仿宋" w:cstheme="minorBidi" w:hint="eastAsia"/>
          <w:kern w:val="24"/>
          <w:sz w:val="32"/>
          <w:szCs w:val="32"/>
        </w:rPr>
        <w:t>%、</w:t>
      </w:r>
      <w:r w:rsidR="0091721A">
        <w:rPr>
          <w:rFonts w:ascii="仿宋_GB2312" w:eastAsia="仿宋_GB2312" w:hAnsi="仿宋" w:cstheme="minorBidi" w:hint="eastAsia"/>
          <w:kern w:val="24"/>
          <w:sz w:val="32"/>
          <w:szCs w:val="32"/>
        </w:rPr>
        <w:t>70.8</w:t>
      </w:r>
      <w:r w:rsidRPr="00CA539D">
        <w:rPr>
          <w:rFonts w:ascii="仿宋_GB2312" w:eastAsia="仿宋_GB2312" w:hAnsi="仿宋" w:cstheme="minorBidi" w:hint="eastAsia"/>
          <w:kern w:val="24"/>
          <w:sz w:val="32"/>
          <w:szCs w:val="32"/>
        </w:rPr>
        <w:t>%和</w:t>
      </w:r>
      <w:r w:rsidR="0091721A">
        <w:rPr>
          <w:rFonts w:ascii="仿宋_GB2312" w:eastAsia="仿宋_GB2312" w:hAnsi="仿宋" w:cstheme="minorBidi" w:hint="eastAsia"/>
          <w:kern w:val="24"/>
          <w:sz w:val="32"/>
          <w:szCs w:val="32"/>
        </w:rPr>
        <w:t>48.53</w:t>
      </w:r>
      <w:r w:rsidRPr="00CA539D">
        <w:rPr>
          <w:rFonts w:ascii="仿宋_GB2312" w:eastAsia="仿宋_GB2312" w:hAnsi="仿宋" w:cstheme="minorBidi" w:hint="eastAsia"/>
          <w:kern w:val="24"/>
          <w:sz w:val="32"/>
          <w:szCs w:val="32"/>
        </w:rPr>
        <w:t>%；</w:t>
      </w:r>
      <w:r w:rsidR="0091721A">
        <w:rPr>
          <w:rFonts w:ascii="仿宋_GB2312" w:eastAsia="仿宋_GB2312" w:hAnsi="仿宋" w:cstheme="minorBidi" w:hint="eastAsia"/>
          <w:kern w:val="24"/>
          <w:sz w:val="32"/>
          <w:szCs w:val="32"/>
        </w:rPr>
        <w:t>15</w:t>
      </w:r>
      <w:r w:rsidRPr="00CA539D">
        <w:rPr>
          <w:rFonts w:ascii="仿宋_GB2312" w:eastAsia="仿宋_GB2312" w:hAnsi="仿宋" w:cstheme="minorBidi" w:hint="eastAsia"/>
          <w:kern w:val="24"/>
          <w:sz w:val="32"/>
          <w:szCs w:val="32"/>
        </w:rPr>
        <w:t>家机构出现下滑</w:t>
      </w:r>
      <w:r w:rsidRPr="00CA539D">
        <w:rPr>
          <w:rFonts w:ascii="仿宋_GB2312" w:eastAsia="仿宋_GB2312" w:cstheme="minorBidi" w:hint="eastAsia"/>
          <w:kern w:val="24"/>
          <w:sz w:val="40"/>
          <w:szCs w:val="40"/>
        </w:rPr>
        <w:t>。</w:t>
      </w:r>
    </w:p>
    <w:p w:rsidR="00CA539D" w:rsidRPr="00CA539D" w:rsidRDefault="0091721A" w:rsidP="0091721A">
      <w:pPr>
        <w:ind w:leftChars="-337" w:hangingChars="337" w:hanging="708"/>
        <w:rPr>
          <w:rFonts w:ascii="仿宋_GB2312" w:eastAsia="仿宋_GB2312" w:cstheme="minorBidi"/>
          <w:kern w:val="24"/>
          <w:sz w:val="40"/>
          <w:szCs w:val="40"/>
        </w:rPr>
      </w:pPr>
      <w:r>
        <w:rPr>
          <w:noProof/>
        </w:rPr>
        <w:drawing>
          <wp:inline distT="0" distB="0" distL="0" distR="0" wp14:anchorId="105CF19E" wp14:editId="7DC4CECC">
            <wp:extent cx="6638925" cy="3886200"/>
            <wp:effectExtent l="0" t="0" r="0"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248E6" w:rsidRPr="00CA539D" w:rsidRDefault="004248E6" w:rsidP="004248E6">
      <w:pPr>
        <w:ind w:rightChars="-364" w:right="-764" w:firstLineChars="192" w:firstLine="617"/>
        <w:rPr>
          <w:rFonts w:ascii="仿宋_GB2312" w:eastAsia="仿宋_GB2312" w:hAnsi="宋体"/>
          <w:b/>
          <w:sz w:val="32"/>
          <w:szCs w:val="32"/>
        </w:rPr>
      </w:pPr>
      <w:r>
        <w:rPr>
          <w:rFonts w:ascii="仿宋_GB2312" w:eastAsia="仿宋_GB2312" w:hAnsi="宋体" w:hint="eastAsia"/>
          <w:b/>
          <w:sz w:val="32"/>
          <w:szCs w:val="32"/>
        </w:rPr>
        <w:t>其中：</w:t>
      </w:r>
      <w:proofErr w:type="gramStart"/>
      <w:r w:rsidRPr="00CA539D">
        <w:rPr>
          <w:rFonts w:ascii="仿宋_GB2312" w:eastAsia="仿宋_GB2312" w:hAnsi="宋体" w:hint="eastAsia"/>
          <w:b/>
          <w:sz w:val="32"/>
          <w:szCs w:val="32"/>
        </w:rPr>
        <w:t>个</w:t>
      </w:r>
      <w:proofErr w:type="gramEnd"/>
      <w:r w:rsidRPr="00CA539D">
        <w:rPr>
          <w:rFonts w:ascii="仿宋_GB2312" w:eastAsia="仿宋_GB2312" w:hAnsi="宋体" w:hint="eastAsia"/>
          <w:b/>
          <w:sz w:val="32"/>
          <w:szCs w:val="32"/>
        </w:rPr>
        <w:t>险</w:t>
      </w:r>
      <w:proofErr w:type="gramStart"/>
      <w:r w:rsidRPr="00CA539D">
        <w:rPr>
          <w:rFonts w:ascii="仿宋_GB2312" w:eastAsia="仿宋_GB2312" w:hAnsi="宋体" w:hint="eastAsia"/>
          <w:b/>
          <w:sz w:val="32"/>
          <w:szCs w:val="32"/>
        </w:rPr>
        <w:t>首年期缴</w:t>
      </w:r>
      <w:r>
        <w:rPr>
          <w:rFonts w:ascii="仿宋_GB2312" w:eastAsia="仿宋_GB2312" w:hAnsi="宋体" w:hint="eastAsia"/>
          <w:b/>
          <w:sz w:val="32"/>
          <w:szCs w:val="32"/>
        </w:rPr>
        <w:t>保费</w:t>
      </w:r>
      <w:proofErr w:type="gramEnd"/>
    </w:p>
    <w:p w:rsidR="00347665" w:rsidRDefault="00CA539D" w:rsidP="00347665">
      <w:pPr>
        <w:ind w:firstLineChars="177" w:firstLine="566"/>
        <w:rPr>
          <w:rFonts w:ascii="仿宋_GB2312" w:eastAsia="仿宋_GB2312" w:hAnsi="仿宋"/>
          <w:sz w:val="32"/>
          <w:szCs w:val="32"/>
        </w:rPr>
      </w:pPr>
      <w:r w:rsidRPr="00CA539D">
        <w:rPr>
          <w:rFonts w:ascii="仿宋_GB2312" w:eastAsia="仿宋_GB2312" w:hAnsi="仿宋" w:hint="eastAsia"/>
          <w:sz w:val="32"/>
          <w:szCs w:val="32"/>
        </w:rPr>
        <w:t>截至</w:t>
      </w:r>
      <w:r w:rsidR="00E75BD2">
        <w:rPr>
          <w:rFonts w:ascii="仿宋_GB2312" w:eastAsia="仿宋_GB2312" w:hAnsi="仿宋" w:hint="eastAsia"/>
          <w:sz w:val="32"/>
          <w:szCs w:val="32"/>
        </w:rPr>
        <w:t>9</w:t>
      </w:r>
      <w:r w:rsidRPr="00CA539D">
        <w:rPr>
          <w:rFonts w:ascii="仿宋_GB2312" w:eastAsia="仿宋_GB2312" w:hAnsi="仿宋" w:hint="eastAsia"/>
          <w:sz w:val="32"/>
          <w:szCs w:val="32"/>
        </w:rPr>
        <w:t>月</w:t>
      </w:r>
      <w:r w:rsidR="006411D1">
        <w:rPr>
          <w:rFonts w:ascii="仿宋_GB2312" w:eastAsia="仿宋_GB2312" w:hAnsi="仿宋" w:hint="eastAsia"/>
          <w:sz w:val="32"/>
          <w:szCs w:val="32"/>
        </w:rPr>
        <w:t>30</w:t>
      </w:r>
      <w:r w:rsidR="00004651">
        <w:rPr>
          <w:rFonts w:ascii="仿宋_GB2312" w:eastAsia="仿宋_GB2312" w:hAnsi="仿宋" w:hint="eastAsia"/>
          <w:sz w:val="32"/>
          <w:szCs w:val="32"/>
        </w:rPr>
        <w:t>日，丹东地区</w:t>
      </w:r>
      <w:proofErr w:type="gramStart"/>
      <w:r w:rsidR="00004651">
        <w:rPr>
          <w:rFonts w:ascii="仿宋_GB2312" w:eastAsia="仿宋_GB2312" w:hAnsi="仿宋" w:hint="eastAsia"/>
          <w:sz w:val="32"/>
          <w:szCs w:val="32"/>
        </w:rPr>
        <w:t>个</w:t>
      </w:r>
      <w:proofErr w:type="gramEnd"/>
      <w:r w:rsidR="00004651">
        <w:rPr>
          <w:rFonts w:ascii="仿宋_GB2312" w:eastAsia="仿宋_GB2312" w:hAnsi="仿宋" w:hint="eastAsia"/>
          <w:sz w:val="32"/>
          <w:szCs w:val="32"/>
        </w:rPr>
        <w:t>险</w:t>
      </w:r>
      <w:proofErr w:type="gramStart"/>
      <w:r w:rsidRPr="00CA539D">
        <w:rPr>
          <w:rFonts w:ascii="仿宋_GB2312" w:eastAsia="仿宋_GB2312" w:hAnsi="仿宋" w:hint="eastAsia"/>
          <w:sz w:val="32"/>
          <w:szCs w:val="32"/>
        </w:rPr>
        <w:t>首年期缴保费</w:t>
      </w:r>
      <w:proofErr w:type="gramEnd"/>
      <w:r w:rsidRPr="00CA539D">
        <w:rPr>
          <w:rFonts w:ascii="仿宋_GB2312" w:eastAsia="仿宋_GB2312" w:hAnsi="仿宋" w:hint="eastAsia"/>
          <w:sz w:val="32"/>
          <w:szCs w:val="32"/>
        </w:rPr>
        <w:t>收入</w:t>
      </w:r>
      <w:r w:rsidR="00E75BD2">
        <w:rPr>
          <w:rFonts w:ascii="仿宋_GB2312" w:eastAsia="仿宋_GB2312" w:hAnsi="仿宋" w:hint="eastAsia"/>
          <w:sz w:val="32"/>
          <w:szCs w:val="32"/>
        </w:rPr>
        <w:t>36</w:t>
      </w:r>
      <w:r w:rsidRPr="00CA539D">
        <w:rPr>
          <w:rFonts w:ascii="仿宋_GB2312" w:eastAsia="仿宋_GB2312" w:hAnsi="仿宋" w:hint="eastAsia"/>
          <w:sz w:val="32"/>
          <w:szCs w:val="32"/>
        </w:rPr>
        <w:t>,</w:t>
      </w:r>
      <w:r w:rsidR="00E75BD2">
        <w:rPr>
          <w:rFonts w:ascii="仿宋_GB2312" w:eastAsia="仿宋_GB2312" w:hAnsi="仿宋" w:hint="eastAsia"/>
          <w:sz w:val="32"/>
          <w:szCs w:val="32"/>
        </w:rPr>
        <w:t>988</w:t>
      </w:r>
      <w:r w:rsidRPr="00CA539D">
        <w:rPr>
          <w:rFonts w:ascii="仿宋_GB2312" w:eastAsia="仿宋_GB2312" w:hAnsi="仿宋" w:hint="eastAsia"/>
          <w:sz w:val="32"/>
          <w:szCs w:val="32"/>
        </w:rPr>
        <w:t>万元,同比</w:t>
      </w:r>
      <w:r w:rsidR="00347665">
        <w:rPr>
          <w:rFonts w:ascii="仿宋_GB2312" w:eastAsia="仿宋_GB2312" w:hAnsi="仿宋" w:hint="eastAsia"/>
          <w:sz w:val="32"/>
          <w:szCs w:val="32"/>
        </w:rPr>
        <w:t>下降</w:t>
      </w:r>
      <w:r w:rsidR="00E75BD2">
        <w:rPr>
          <w:rFonts w:ascii="仿宋_GB2312" w:eastAsia="仿宋_GB2312" w:hAnsi="仿宋" w:hint="eastAsia"/>
          <w:sz w:val="32"/>
          <w:szCs w:val="32"/>
        </w:rPr>
        <w:t>17.35</w:t>
      </w:r>
      <w:r w:rsidRPr="00CA539D">
        <w:rPr>
          <w:rFonts w:ascii="仿宋_GB2312" w:eastAsia="仿宋_GB2312" w:hAnsi="仿宋" w:hint="eastAsia"/>
          <w:sz w:val="32"/>
          <w:szCs w:val="32"/>
        </w:rPr>
        <w:t>%，全市26家机构中有数据可比的</w:t>
      </w:r>
      <w:r w:rsidR="00E75BD2">
        <w:rPr>
          <w:rFonts w:ascii="仿宋_GB2312" w:eastAsia="仿宋_GB2312" w:hAnsi="仿宋" w:hint="eastAsia"/>
          <w:sz w:val="32"/>
          <w:szCs w:val="32"/>
        </w:rPr>
        <w:t>5</w:t>
      </w:r>
      <w:r w:rsidRPr="00CA539D">
        <w:rPr>
          <w:rFonts w:ascii="仿宋_GB2312" w:eastAsia="仿宋_GB2312" w:hAnsi="仿宋" w:hint="eastAsia"/>
          <w:sz w:val="32"/>
          <w:szCs w:val="32"/>
        </w:rPr>
        <w:t>家实现正增长，其中：</w:t>
      </w:r>
      <w:r w:rsidR="00104091">
        <w:rPr>
          <w:rFonts w:ascii="仿宋_GB2312" w:eastAsia="仿宋_GB2312" w:hAnsi="仿宋" w:hint="eastAsia"/>
          <w:sz w:val="32"/>
          <w:szCs w:val="32"/>
        </w:rPr>
        <w:t>阳光</w:t>
      </w:r>
      <w:r w:rsidR="00F71899">
        <w:rPr>
          <w:rFonts w:ascii="仿宋_GB2312" w:eastAsia="仿宋_GB2312" w:hAnsi="仿宋" w:hint="eastAsia"/>
          <w:sz w:val="32"/>
          <w:szCs w:val="32"/>
        </w:rPr>
        <w:t>人寿、</w:t>
      </w:r>
      <w:r w:rsidR="00E75BD2">
        <w:rPr>
          <w:rFonts w:ascii="仿宋_GB2312" w:eastAsia="仿宋_GB2312" w:hAnsi="仿宋" w:hint="eastAsia"/>
          <w:sz w:val="32"/>
          <w:szCs w:val="32"/>
        </w:rPr>
        <w:t>中荷</w:t>
      </w:r>
      <w:r w:rsidRPr="00CA539D">
        <w:rPr>
          <w:rFonts w:ascii="仿宋_GB2312" w:eastAsia="仿宋_GB2312" w:hAnsi="仿宋" w:hint="eastAsia"/>
          <w:sz w:val="32"/>
          <w:szCs w:val="32"/>
        </w:rPr>
        <w:t>人寿、</w:t>
      </w:r>
      <w:r w:rsidR="00E75BD2">
        <w:rPr>
          <w:rFonts w:ascii="仿宋_GB2312" w:eastAsia="仿宋_GB2312" w:hAnsi="仿宋" w:hint="eastAsia"/>
          <w:sz w:val="32"/>
          <w:szCs w:val="32"/>
        </w:rPr>
        <w:t>中英</w:t>
      </w:r>
      <w:r w:rsidR="00104091">
        <w:rPr>
          <w:rFonts w:ascii="仿宋_GB2312" w:eastAsia="仿宋_GB2312" w:hAnsi="仿宋" w:hint="eastAsia"/>
          <w:sz w:val="32"/>
          <w:szCs w:val="32"/>
        </w:rPr>
        <w:t>人寿</w:t>
      </w:r>
      <w:r w:rsidRPr="00CA539D">
        <w:rPr>
          <w:rFonts w:ascii="仿宋_GB2312" w:eastAsia="仿宋_GB2312" w:hAnsi="仿宋" w:hint="eastAsia"/>
          <w:sz w:val="32"/>
          <w:szCs w:val="32"/>
        </w:rPr>
        <w:t>增速居前3位，</w:t>
      </w:r>
      <w:r w:rsidR="00004651">
        <w:rPr>
          <w:rFonts w:ascii="仿宋_GB2312" w:eastAsia="仿宋_GB2312" w:hAnsi="仿宋" w:hint="eastAsia"/>
          <w:sz w:val="32"/>
          <w:szCs w:val="32"/>
        </w:rPr>
        <w:t>同比</w:t>
      </w:r>
      <w:r w:rsidRPr="00CA539D">
        <w:rPr>
          <w:rFonts w:ascii="仿宋_GB2312" w:eastAsia="仿宋_GB2312" w:hAnsi="仿宋" w:hint="eastAsia"/>
          <w:sz w:val="32"/>
          <w:szCs w:val="32"/>
        </w:rPr>
        <w:t>分别增长</w:t>
      </w:r>
      <w:r w:rsidR="00E75BD2">
        <w:rPr>
          <w:rFonts w:ascii="仿宋_GB2312" w:eastAsia="仿宋_GB2312" w:hAnsi="仿宋" w:hint="eastAsia"/>
          <w:sz w:val="32"/>
          <w:szCs w:val="32"/>
        </w:rPr>
        <w:t>70.8</w:t>
      </w:r>
      <w:r w:rsidR="00F71899">
        <w:rPr>
          <w:rFonts w:ascii="仿宋_GB2312" w:eastAsia="仿宋_GB2312" w:hAnsi="仿宋" w:hint="eastAsia"/>
          <w:sz w:val="32"/>
          <w:szCs w:val="32"/>
        </w:rPr>
        <w:t>%、</w:t>
      </w:r>
      <w:r w:rsidR="00E75BD2">
        <w:rPr>
          <w:rFonts w:ascii="仿宋_GB2312" w:eastAsia="仿宋_GB2312" w:hAnsi="仿宋" w:hint="eastAsia"/>
          <w:sz w:val="32"/>
          <w:szCs w:val="32"/>
        </w:rPr>
        <w:t>48.53</w:t>
      </w:r>
      <w:r w:rsidRPr="00CA539D">
        <w:rPr>
          <w:rFonts w:ascii="仿宋_GB2312" w:eastAsia="仿宋_GB2312" w:hAnsi="仿宋" w:hint="eastAsia"/>
          <w:sz w:val="32"/>
          <w:szCs w:val="32"/>
        </w:rPr>
        <w:t>%和</w:t>
      </w:r>
      <w:r w:rsidR="00E75BD2">
        <w:rPr>
          <w:rFonts w:ascii="仿宋_GB2312" w:eastAsia="仿宋_GB2312" w:hAnsi="仿宋" w:hint="eastAsia"/>
          <w:sz w:val="32"/>
          <w:szCs w:val="32"/>
        </w:rPr>
        <w:t>6.58</w:t>
      </w:r>
      <w:r w:rsidRPr="00CA539D">
        <w:rPr>
          <w:rFonts w:ascii="仿宋_GB2312" w:eastAsia="仿宋_GB2312" w:hAnsi="仿宋" w:hint="eastAsia"/>
          <w:sz w:val="32"/>
          <w:szCs w:val="32"/>
        </w:rPr>
        <w:t>%；</w:t>
      </w:r>
      <w:r w:rsidR="00E75BD2">
        <w:rPr>
          <w:rFonts w:ascii="仿宋_GB2312" w:eastAsia="仿宋_GB2312" w:hAnsi="仿宋" w:hint="eastAsia"/>
          <w:sz w:val="32"/>
          <w:szCs w:val="32"/>
        </w:rPr>
        <w:t>16</w:t>
      </w:r>
      <w:r w:rsidRPr="00CA539D">
        <w:rPr>
          <w:rFonts w:ascii="仿宋_GB2312" w:eastAsia="仿宋_GB2312" w:hAnsi="仿宋" w:hint="eastAsia"/>
          <w:sz w:val="32"/>
          <w:szCs w:val="32"/>
        </w:rPr>
        <w:t>家机构出现下滑。</w:t>
      </w:r>
    </w:p>
    <w:p w:rsidR="00CA539D" w:rsidRPr="00CA539D" w:rsidRDefault="00E75BD2" w:rsidP="00E75BD2">
      <w:pPr>
        <w:ind w:leftChars="-337" w:hangingChars="337" w:hanging="708"/>
        <w:rPr>
          <w:rFonts w:ascii="仿宋_GB2312" w:eastAsia="仿宋_GB2312" w:hAnsi="仿宋"/>
          <w:sz w:val="32"/>
          <w:szCs w:val="32"/>
        </w:rPr>
      </w:pPr>
      <w:r>
        <w:rPr>
          <w:noProof/>
        </w:rPr>
        <w:lastRenderedPageBreak/>
        <w:drawing>
          <wp:inline distT="0" distB="0" distL="0" distR="0" wp14:anchorId="5FB5E350" wp14:editId="52C0E512">
            <wp:extent cx="6562725" cy="3467100"/>
            <wp:effectExtent l="0" t="0" r="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0458" w:rsidRDefault="00DE68B3" w:rsidP="00DD5576">
      <w:pPr>
        <w:ind w:leftChars="-32" w:left="-67" w:rightChars="19" w:right="40" w:firstLineChars="213" w:firstLine="682"/>
        <w:rPr>
          <w:rFonts w:ascii="仿宋_GB2312" w:eastAsia="仿宋_GB2312" w:hAnsi="仿宋"/>
          <w:sz w:val="32"/>
          <w:szCs w:val="32"/>
        </w:rPr>
      </w:pPr>
      <w:proofErr w:type="gramStart"/>
      <w:r>
        <w:rPr>
          <w:rFonts w:ascii="仿宋_GB2312" w:eastAsia="仿宋_GB2312" w:hAnsi="仿宋" w:hint="eastAsia"/>
          <w:sz w:val="32"/>
          <w:szCs w:val="32"/>
        </w:rPr>
        <w:t>个</w:t>
      </w:r>
      <w:proofErr w:type="gramEnd"/>
      <w:r>
        <w:rPr>
          <w:rFonts w:ascii="仿宋_GB2312" w:eastAsia="仿宋_GB2312" w:hAnsi="仿宋" w:hint="eastAsia"/>
          <w:sz w:val="32"/>
          <w:szCs w:val="32"/>
        </w:rPr>
        <w:t>险</w:t>
      </w:r>
      <w:proofErr w:type="gramStart"/>
      <w:r>
        <w:rPr>
          <w:rFonts w:ascii="仿宋_GB2312" w:eastAsia="仿宋_GB2312" w:hAnsi="仿宋" w:hint="eastAsia"/>
          <w:sz w:val="32"/>
          <w:szCs w:val="32"/>
        </w:rPr>
        <w:t>首年期缴保费</w:t>
      </w:r>
      <w:proofErr w:type="gramEnd"/>
      <w:r w:rsidR="00CA539D" w:rsidRPr="00CA539D">
        <w:rPr>
          <w:rFonts w:ascii="仿宋_GB2312" w:eastAsia="仿宋_GB2312" w:hAnsi="仿宋" w:hint="eastAsia"/>
          <w:sz w:val="32"/>
          <w:szCs w:val="32"/>
        </w:rPr>
        <w:t>市场份额排名前3位的公司，分别为中国人寿</w:t>
      </w:r>
      <w:r w:rsidR="00E75BD2">
        <w:rPr>
          <w:rFonts w:ascii="仿宋_GB2312" w:eastAsia="仿宋_GB2312" w:hAnsi="仿宋" w:hint="eastAsia"/>
          <w:sz w:val="32"/>
          <w:szCs w:val="32"/>
        </w:rPr>
        <w:t>29.3</w:t>
      </w:r>
      <w:r w:rsidR="003D5647">
        <w:rPr>
          <w:rFonts w:ascii="仿宋_GB2312" w:eastAsia="仿宋_GB2312" w:hAnsi="仿宋" w:hint="eastAsia"/>
          <w:sz w:val="32"/>
          <w:szCs w:val="32"/>
        </w:rPr>
        <w:t>%</w:t>
      </w:r>
      <w:r w:rsidR="00CA539D" w:rsidRPr="00CA539D">
        <w:rPr>
          <w:rFonts w:ascii="仿宋_GB2312" w:eastAsia="仿宋_GB2312" w:hAnsi="仿宋" w:hint="eastAsia"/>
          <w:sz w:val="32"/>
          <w:szCs w:val="32"/>
        </w:rPr>
        <w:t>、平安人寿</w:t>
      </w:r>
      <w:r w:rsidR="00E75BD2">
        <w:rPr>
          <w:rFonts w:ascii="仿宋_GB2312" w:eastAsia="仿宋_GB2312" w:hAnsi="仿宋" w:hint="eastAsia"/>
          <w:sz w:val="32"/>
          <w:szCs w:val="32"/>
        </w:rPr>
        <w:t>16.67</w:t>
      </w:r>
      <w:r w:rsidR="00CA539D" w:rsidRPr="00CA539D">
        <w:rPr>
          <w:rFonts w:ascii="仿宋_GB2312" w:eastAsia="仿宋_GB2312" w:hAnsi="仿宋" w:hint="eastAsia"/>
          <w:sz w:val="32"/>
          <w:szCs w:val="32"/>
        </w:rPr>
        <w:t>%、</w:t>
      </w:r>
      <w:r w:rsidR="003D5647">
        <w:rPr>
          <w:rFonts w:ascii="仿宋_GB2312" w:eastAsia="仿宋_GB2312" w:hAnsi="仿宋" w:hint="eastAsia"/>
          <w:sz w:val="32"/>
          <w:szCs w:val="32"/>
        </w:rPr>
        <w:t>太平人寿</w:t>
      </w:r>
      <w:r w:rsidR="00E75BD2">
        <w:rPr>
          <w:rFonts w:ascii="仿宋_GB2312" w:eastAsia="仿宋_GB2312" w:hAnsi="仿宋" w:hint="eastAsia"/>
          <w:sz w:val="32"/>
          <w:szCs w:val="32"/>
        </w:rPr>
        <w:t>7.71</w:t>
      </w:r>
      <w:r w:rsidR="00CA539D" w:rsidRPr="00CA539D">
        <w:rPr>
          <w:rFonts w:ascii="仿宋_GB2312" w:eastAsia="仿宋_GB2312" w:hAnsi="仿宋" w:hint="eastAsia"/>
          <w:sz w:val="32"/>
          <w:szCs w:val="32"/>
        </w:rPr>
        <w:t>%。</w:t>
      </w:r>
    </w:p>
    <w:p w:rsidR="00CA539D" w:rsidRDefault="00E75BD2" w:rsidP="00E75BD2">
      <w:pPr>
        <w:ind w:leftChars="-337" w:left="-708" w:rightChars="19" w:right="40" w:firstLineChars="67" w:firstLine="141"/>
        <w:rPr>
          <w:rFonts w:ascii="楷体_GB2312" w:eastAsia="楷体_GB2312" w:hAnsi="宋体"/>
          <w:b/>
          <w:sz w:val="32"/>
          <w:szCs w:val="32"/>
        </w:rPr>
      </w:pPr>
      <w:r>
        <w:rPr>
          <w:noProof/>
        </w:rPr>
        <w:drawing>
          <wp:inline distT="0" distB="0" distL="0" distR="0" wp14:anchorId="26E5D724" wp14:editId="6706AC76">
            <wp:extent cx="6419850" cy="4371975"/>
            <wp:effectExtent l="0" t="0" r="0" b="0"/>
            <wp:docPr id="17"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248E6" w:rsidRPr="00CA539D" w:rsidRDefault="004248E6" w:rsidP="004248E6">
      <w:pPr>
        <w:ind w:rightChars="-364" w:right="-764" w:firstLineChars="192" w:firstLine="617"/>
        <w:rPr>
          <w:rFonts w:ascii="仿宋" w:eastAsia="仿宋" w:hAnsi="仿宋"/>
          <w:b/>
          <w:sz w:val="32"/>
          <w:szCs w:val="32"/>
        </w:rPr>
      </w:pPr>
      <w:r>
        <w:rPr>
          <w:rFonts w:ascii="仿宋" w:eastAsia="仿宋" w:hAnsi="仿宋"/>
          <w:b/>
          <w:sz w:val="32"/>
          <w:szCs w:val="32"/>
        </w:rPr>
        <w:lastRenderedPageBreak/>
        <w:t>2.</w:t>
      </w:r>
      <w:r w:rsidRPr="00CA539D">
        <w:rPr>
          <w:rFonts w:ascii="仿宋" w:eastAsia="仿宋" w:hAnsi="仿宋" w:hint="eastAsia"/>
          <w:b/>
          <w:sz w:val="32"/>
          <w:szCs w:val="32"/>
        </w:rPr>
        <w:t>银</w:t>
      </w:r>
      <w:proofErr w:type="gramStart"/>
      <w:r w:rsidRPr="00CA539D">
        <w:rPr>
          <w:rFonts w:ascii="仿宋" w:eastAsia="仿宋" w:hAnsi="仿宋" w:hint="eastAsia"/>
          <w:b/>
          <w:sz w:val="32"/>
          <w:szCs w:val="32"/>
        </w:rPr>
        <w:t>代渠道首年期缴</w:t>
      </w:r>
      <w:proofErr w:type="gramEnd"/>
      <w:r>
        <w:rPr>
          <w:rFonts w:ascii="仿宋" w:eastAsia="仿宋" w:hAnsi="仿宋" w:hint="eastAsia"/>
          <w:b/>
          <w:sz w:val="32"/>
          <w:szCs w:val="32"/>
        </w:rPr>
        <w:t>保费</w:t>
      </w:r>
    </w:p>
    <w:p w:rsidR="00280BBD" w:rsidRDefault="00CA539D" w:rsidP="00280BBD">
      <w:pPr>
        <w:ind w:rightChars="19" w:right="40" w:firstLineChars="200" w:firstLine="640"/>
        <w:rPr>
          <w:rFonts w:ascii="仿宋_GB2312" w:eastAsia="仿宋_GB2312" w:hAnsi="仿宋"/>
          <w:sz w:val="32"/>
          <w:szCs w:val="32"/>
        </w:rPr>
      </w:pPr>
      <w:r w:rsidRPr="00CA539D">
        <w:rPr>
          <w:rFonts w:ascii="仿宋_GB2312" w:eastAsia="仿宋_GB2312" w:hAnsi="仿宋" w:hint="eastAsia"/>
          <w:sz w:val="32"/>
          <w:szCs w:val="32"/>
        </w:rPr>
        <w:t>截至</w:t>
      </w:r>
      <w:r w:rsidR="001D2D3B">
        <w:rPr>
          <w:rFonts w:ascii="仿宋_GB2312" w:eastAsia="仿宋_GB2312" w:hAnsi="仿宋" w:hint="eastAsia"/>
          <w:sz w:val="32"/>
          <w:szCs w:val="32"/>
        </w:rPr>
        <w:t>9</w:t>
      </w:r>
      <w:r w:rsidRPr="00CA539D">
        <w:rPr>
          <w:rFonts w:ascii="仿宋_GB2312" w:eastAsia="仿宋_GB2312" w:hAnsi="仿宋" w:hint="eastAsia"/>
          <w:sz w:val="32"/>
          <w:szCs w:val="32"/>
        </w:rPr>
        <w:t>月</w:t>
      </w:r>
      <w:r w:rsidR="00415131">
        <w:rPr>
          <w:rFonts w:ascii="仿宋_GB2312" w:eastAsia="仿宋_GB2312" w:hAnsi="仿宋" w:hint="eastAsia"/>
          <w:sz w:val="32"/>
          <w:szCs w:val="32"/>
        </w:rPr>
        <w:t>30</w:t>
      </w:r>
      <w:r w:rsidR="00004651">
        <w:rPr>
          <w:rFonts w:ascii="仿宋_GB2312" w:eastAsia="仿宋_GB2312" w:hAnsi="仿宋" w:hint="eastAsia"/>
          <w:sz w:val="32"/>
          <w:szCs w:val="32"/>
        </w:rPr>
        <w:t>日，我市银</w:t>
      </w:r>
      <w:proofErr w:type="gramStart"/>
      <w:r w:rsidR="00004651">
        <w:rPr>
          <w:rFonts w:ascii="仿宋_GB2312" w:eastAsia="仿宋_GB2312" w:hAnsi="仿宋" w:hint="eastAsia"/>
          <w:sz w:val="32"/>
          <w:szCs w:val="32"/>
        </w:rPr>
        <w:t>代渠道</w:t>
      </w:r>
      <w:r w:rsidRPr="00CA539D">
        <w:rPr>
          <w:rFonts w:ascii="仿宋_GB2312" w:eastAsia="仿宋_GB2312" w:hAnsi="仿宋" w:hint="eastAsia"/>
          <w:sz w:val="32"/>
          <w:szCs w:val="32"/>
        </w:rPr>
        <w:t>首年期缴</w:t>
      </w:r>
      <w:proofErr w:type="gramEnd"/>
      <w:r w:rsidRPr="00CA539D">
        <w:rPr>
          <w:rFonts w:ascii="仿宋_GB2312" w:eastAsia="仿宋_GB2312" w:hAnsi="仿宋" w:hint="eastAsia"/>
          <w:sz w:val="32"/>
          <w:szCs w:val="32"/>
        </w:rPr>
        <w:t>保费</w:t>
      </w:r>
      <w:r w:rsidR="00004651">
        <w:rPr>
          <w:rFonts w:ascii="仿宋_GB2312" w:eastAsia="仿宋_GB2312" w:hAnsi="仿宋" w:hint="eastAsia"/>
          <w:sz w:val="32"/>
          <w:szCs w:val="32"/>
        </w:rPr>
        <w:t>收入</w:t>
      </w:r>
      <w:r w:rsidR="001D2D3B">
        <w:rPr>
          <w:rFonts w:ascii="仿宋_GB2312" w:eastAsia="仿宋_GB2312" w:hAnsi="仿宋" w:hint="eastAsia"/>
          <w:sz w:val="32"/>
          <w:szCs w:val="32"/>
        </w:rPr>
        <w:t>19</w:t>
      </w:r>
      <w:r w:rsidRPr="00CA539D">
        <w:rPr>
          <w:rFonts w:ascii="仿宋_GB2312" w:eastAsia="仿宋_GB2312" w:hAnsi="仿宋" w:hint="eastAsia"/>
          <w:sz w:val="32"/>
          <w:szCs w:val="32"/>
        </w:rPr>
        <w:t>,</w:t>
      </w:r>
      <w:r w:rsidR="001D2D3B">
        <w:rPr>
          <w:rFonts w:ascii="仿宋_GB2312" w:eastAsia="仿宋_GB2312" w:hAnsi="仿宋" w:hint="eastAsia"/>
          <w:sz w:val="32"/>
          <w:szCs w:val="32"/>
        </w:rPr>
        <w:t>455</w:t>
      </w:r>
      <w:r w:rsidRPr="00CA539D">
        <w:rPr>
          <w:rFonts w:ascii="仿宋_GB2312" w:eastAsia="仿宋_GB2312" w:hAnsi="仿宋" w:hint="eastAsia"/>
          <w:sz w:val="32"/>
          <w:szCs w:val="32"/>
        </w:rPr>
        <w:t>万元，同比</w:t>
      </w:r>
      <w:r w:rsidR="007B4392">
        <w:rPr>
          <w:rFonts w:ascii="仿宋_GB2312" w:eastAsia="仿宋_GB2312" w:hAnsi="仿宋" w:hint="eastAsia"/>
          <w:sz w:val="32"/>
          <w:szCs w:val="32"/>
        </w:rPr>
        <w:t>下降</w:t>
      </w:r>
      <w:r w:rsidR="001D2D3B">
        <w:rPr>
          <w:rFonts w:ascii="仿宋_GB2312" w:eastAsia="仿宋_GB2312" w:hAnsi="仿宋" w:hint="eastAsia"/>
          <w:sz w:val="32"/>
          <w:szCs w:val="32"/>
        </w:rPr>
        <w:t>25.11</w:t>
      </w:r>
      <w:r w:rsidRPr="00CA539D">
        <w:rPr>
          <w:rFonts w:ascii="仿宋_GB2312" w:eastAsia="仿宋_GB2312" w:hAnsi="仿宋" w:hint="eastAsia"/>
          <w:sz w:val="32"/>
          <w:szCs w:val="32"/>
        </w:rPr>
        <w:t>%，全市26家寿险机构有22</w:t>
      </w:r>
      <w:r w:rsidR="00004651">
        <w:rPr>
          <w:rFonts w:ascii="仿宋_GB2312" w:eastAsia="仿宋_GB2312" w:hAnsi="仿宋" w:hint="eastAsia"/>
          <w:sz w:val="32"/>
          <w:szCs w:val="32"/>
        </w:rPr>
        <w:t>家开办</w:t>
      </w:r>
      <w:r w:rsidRPr="00CA539D">
        <w:rPr>
          <w:rFonts w:ascii="仿宋_GB2312" w:eastAsia="仿宋_GB2312" w:hAnsi="仿宋" w:hint="eastAsia"/>
          <w:sz w:val="32"/>
          <w:szCs w:val="32"/>
        </w:rPr>
        <w:t>了银行代理任务，其中：阳光人寿、</w:t>
      </w:r>
      <w:r w:rsidR="001D2D3B">
        <w:rPr>
          <w:rFonts w:ascii="仿宋_GB2312" w:eastAsia="仿宋_GB2312" w:hAnsi="仿宋" w:hint="eastAsia"/>
          <w:sz w:val="32"/>
          <w:szCs w:val="32"/>
        </w:rPr>
        <w:t>大家</w:t>
      </w:r>
      <w:r w:rsidRPr="00CA539D">
        <w:rPr>
          <w:rFonts w:ascii="仿宋_GB2312" w:eastAsia="仿宋_GB2312" w:hAnsi="仿宋" w:hint="eastAsia"/>
          <w:sz w:val="32"/>
          <w:szCs w:val="32"/>
        </w:rPr>
        <w:t>人寿、</w:t>
      </w:r>
      <w:r w:rsidR="001D2D3B">
        <w:rPr>
          <w:rFonts w:ascii="仿宋_GB2312" w:eastAsia="仿宋_GB2312" w:hAnsi="仿宋" w:hint="eastAsia"/>
          <w:sz w:val="32"/>
          <w:szCs w:val="32"/>
        </w:rPr>
        <w:t>百年人寿</w:t>
      </w:r>
      <w:proofErr w:type="gramStart"/>
      <w:r w:rsidR="00113299">
        <w:rPr>
          <w:rFonts w:ascii="仿宋_GB2312" w:eastAsia="仿宋_GB2312" w:hAnsi="仿宋" w:hint="eastAsia"/>
          <w:sz w:val="32"/>
          <w:szCs w:val="32"/>
        </w:rPr>
        <w:t>期缴</w:t>
      </w:r>
      <w:r w:rsidRPr="00CA539D">
        <w:rPr>
          <w:rFonts w:ascii="仿宋_GB2312" w:eastAsia="仿宋_GB2312" w:hAnsi="仿宋" w:hint="eastAsia"/>
          <w:sz w:val="32"/>
          <w:szCs w:val="32"/>
        </w:rPr>
        <w:t>市场</w:t>
      </w:r>
      <w:proofErr w:type="gramEnd"/>
      <w:r w:rsidRPr="00CA539D">
        <w:rPr>
          <w:rFonts w:ascii="仿宋_GB2312" w:eastAsia="仿宋_GB2312" w:hAnsi="仿宋" w:hint="eastAsia"/>
          <w:sz w:val="32"/>
          <w:szCs w:val="32"/>
        </w:rPr>
        <w:t>份额居前3位，分别为</w:t>
      </w:r>
      <w:r w:rsidR="001D2D3B">
        <w:rPr>
          <w:rFonts w:ascii="仿宋_GB2312" w:eastAsia="仿宋_GB2312" w:hAnsi="仿宋" w:hint="eastAsia"/>
          <w:sz w:val="32"/>
          <w:szCs w:val="32"/>
        </w:rPr>
        <w:t>18.76</w:t>
      </w:r>
      <w:r w:rsidRPr="00CA539D">
        <w:rPr>
          <w:rFonts w:ascii="仿宋_GB2312" w:eastAsia="仿宋_GB2312" w:hAnsi="仿宋" w:hint="eastAsia"/>
          <w:sz w:val="32"/>
          <w:szCs w:val="32"/>
        </w:rPr>
        <w:t>%、</w:t>
      </w:r>
      <w:r w:rsidR="001D2D3B">
        <w:rPr>
          <w:rFonts w:ascii="仿宋_GB2312" w:eastAsia="仿宋_GB2312" w:hAnsi="仿宋" w:hint="eastAsia"/>
          <w:sz w:val="32"/>
          <w:szCs w:val="32"/>
        </w:rPr>
        <w:t>14.17</w:t>
      </w:r>
      <w:r w:rsidRPr="00CA539D">
        <w:rPr>
          <w:rFonts w:ascii="仿宋_GB2312" w:eastAsia="仿宋_GB2312" w:hAnsi="仿宋" w:hint="eastAsia"/>
          <w:sz w:val="32"/>
          <w:szCs w:val="32"/>
        </w:rPr>
        <w:t>%和</w:t>
      </w:r>
      <w:r w:rsidR="001D2D3B">
        <w:rPr>
          <w:rFonts w:ascii="仿宋_GB2312" w:eastAsia="仿宋_GB2312" w:hAnsi="仿宋" w:hint="eastAsia"/>
          <w:sz w:val="32"/>
          <w:szCs w:val="32"/>
        </w:rPr>
        <w:t>12.70</w:t>
      </w:r>
      <w:r w:rsidRPr="00CA539D">
        <w:rPr>
          <w:rFonts w:ascii="仿宋_GB2312" w:eastAsia="仿宋_GB2312" w:hAnsi="仿宋" w:hint="eastAsia"/>
          <w:sz w:val="32"/>
          <w:szCs w:val="32"/>
        </w:rPr>
        <w:t>%。</w:t>
      </w:r>
    </w:p>
    <w:p w:rsidR="00CA539D" w:rsidRPr="00280BBD" w:rsidRDefault="001D2D3B" w:rsidP="001D2D3B">
      <w:pPr>
        <w:ind w:leftChars="-405" w:left="-707" w:rightChars="19" w:right="40" w:hangingChars="68" w:hanging="143"/>
        <w:rPr>
          <w:rFonts w:ascii="仿宋_GB2312" w:eastAsia="仿宋_GB2312" w:hAnsi="仿宋"/>
          <w:sz w:val="32"/>
          <w:szCs w:val="32"/>
        </w:rPr>
      </w:pPr>
      <w:r>
        <w:rPr>
          <w:noProof/>
        </w:rPr>
        <w:drawing>
          <wp:inline distT="0" distB="0" distL="0" distR="0" wp14:anchorId="2C989C50" wp14:editId="10BF3EA8">
            <wp:extent cx="6543675" cy="4991100"/>
            <wp:effectExtent l="0" t="0" r="0" b="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248E6" w:rsidRPr="00CA539D" w:rsidRDefault="004248E6" w:rsidP="004248E6">
      <w:pPr>
        <w:ind w:firstLineChars="200" w:firstLine="643"/>
        <w:rPr>
          <w:rFonts w:ascii="仿宋" w:eastAsia="仿宋" w:hAnsi="仿宋"/>
          <w:b/>
          <w:sz w:val="32"/>
          <w:szCs w:val="32"/>
        </w:rPr>
      </w:pPr>
      <w:r>
        <w:rPr>
          <w:rFonts w:ascii="仿宋" w:eastAsia="仿宋" w:hAnsi="仿宋"/>
          <w:b/>
          <w:sz w:val="32"/>
          <w:szCs w:val="32"/>
        </w:rPr>
        <w:t>3</w:t>
      </w:r>
      <w:r w:rsidRPr="00CA539D">
        <w:rPr>
          <w:rFonts w:ascii="仿宋" w:eastAsia="仿宋" w:hAnsi="仿宋"/>
          <w:b/>
          <w:sz w:val="32"/>
          <w:szCs w:val="32"/>
        </w:rPr>
        <w:t>.</w:t>
      </w:r>
      <w:r w:rsidRPr="00CA539D">
        <w:rPr>
          <w:rFonts w:ascii="仿宋" w:eastAsia="仿宋" w:hAnsi="仿宋" w:hint="eastAsia"/>
          <w:b/>
          <w:sz w:val="32"/>
          <w:szCs w:val="32"/>
        </w:rPr>
        <w:t>意外险、健康险</w:t>
      </w:r>
      <w:r>
        <w:rPr>
          <w:rFonts w:ascii="仿宋" w:eastAsia="仿宋" w:hAnsi="仿宋" w:hint="eastAsia"/>
          <w:b/>
          <w:sz w:val="32"/>
          <w:szCs w:val="32"/>
        </w:rPr>
        <w:t>保费</w:t>
      </w:r>
    </w:p>
    <w:p w:rsidR="00CA539D" w:rsidRDefault="00CA539D" w:rsidP="00CA539D">
      <w:pPr>
        <w:ind w:firstLineChars="200" w:firstLine="640"/>
        <w:rPr>
          <w:rFonts w:ascii="仿宋_GB2312" w:eastAsia="仿宋_GB2312"/>
          <w:sz w:val="32"/>
          <w:szCs w:val="32"/>
        </w:rPr>
      </w:pPr>
      <w:r w:rsidRPr="00CA539D">
        <w:rPr>
          <w:rFonts w:ascii="仿宋_GB2312" w:eastAsia="仿宋_GB2312" w:hAnsi="仿宋" w:hint="eastAsia"/>
          <w:sz w:val="32"/>
          <w:szCs w:val="32"/>
        </w:rPr>
        <w:t>截至</w:t>
      </w:r>
      <w:r w:rsidR="009027B8">
        <w:rPr>
          <w:rFonts w:ascii="仿宋_GB2312" w:eastAsia="仿宋_GB2312" w:hAnsi="仿宋" w:hint="eastAsia"/>
          <w:sz w:val="32"/>
          <w:szCs w:val="32"/>
        </w:rPr>
        <w:t>9</w:t>
      </w:r>
      <w:r w:rsidRPr="00CA539D">
        <w:rPr>
          <w:rFonts w:ascii="仿宋_GB2312" w:eastAsia="仿宋_GB2312" w:hAnsi="仿宋" w:hint="eastAsia"/>
          <w:sz w:val="32"/>
          <w:szCs w:val="32"/>
        </w:rPr>
        <w:t>月</w:t>
      </w:r>
      <w:r w:rsidR="00D52B1A">
        <w:rPr>
          <w:rFonts w:ascii="仿宋_GB2312" w:eastAsia="仿宋_GB2312" w:hAnsi="仿宋" w:hint="eastAsia"/>
          <w:sz w:val="32"/>
          <w:szCs w:val="32"/>
        </w:rPr>
        <w:t>30</w:t>
      </w:r>
      <w:r w:rsidR="00004651">
        <w:rPr>
          <w:rFonts w:ascii="仿宋_GB2312" w:eastAsia="仿宋_GB2312" w:hAnsi="仿宋" w:hint="eastAsia"/>
          <w:sz w:val="32"/>
          <w:szCs w:val="32"/>
        </w:rPr>
        <w:t>日，我市意外险</w:t>
      </w:r>
      <w:r w:rsidRPr="00CA539D">
        <w:rPr>
          <w:rFonts w:ascii="仿宋_GB2312" w:eastAsia="仿宋_GB2312" w:hAnsi="仿宋" w:hint="eastAsia"/>
          <w:sz w:val="32"/>
          <w:szCs w:val="32"/>
        </w:rPr>
        <w:t>保费收入</w:t>
      </w:r>
      <w:r w:rsidR="007C4AEF">
        <w:rPr>
          <w:rFonts w:ascii="仿宋_GB2312" w:eastAsia="仿宋_GB2312" w:hint="eastAsia"/>
          <w:sz w:val="32"/>
          <w:szCs w:val="32"/>
        </w:rPr>
        <w:t>4</w:t>
      </w:r>
      <w:r w:rsidRPr="00CA539D">
        <w:rPr>
          <w:rFonts w:ascii="仿宋_GB2312" w:eastAsia="仿宋_GB2312" w:hint="eastAsia"/>
          <w:sz w:val="32"/>
          <w:szCs w:val="32"/>
        </w:rPr>
        <w:t>,</w:t>
      </w:r>
      <w:r w:rsidR="007C4AEF">
        <w:rPr>
          <w:rFonts w:ascii="仿宋_GB2312" w:eastAsia="仿宋_GB2312" w:hint="eastAsia"/>
          <w:sz w:val="32"/>
          <w:szCs w:val="32"/>
        </w:rPr>
        <w:t>819</w:t>
      </w:r>
      <w:r w:rsidRPr="00CA539D">
        <w:rPr>
          <w:rFonts w:ascii="仿宋_GB2312" w:eastAsia="仿宋_GB2312" w:hint="eastAsia"/>
          <w:sz w:val="32"/>
          <w:szCs w:val="32"/>
        </w:rPr>
        <w:t>万元，</w:t>
      </w:r>
      <w:r w:rsidR="007C4AEF">
        <w:rPr>
          <w:rFonts w:ascii="仿宋_GB2312" w:eastAsia="仿宋_GB2312" w:hint="eastAsia"/>
          <w:sz w:val="32"/>
          <w:szCs w:val="32"/>
        </w:rPr>
        <w:t>平安人寿</w:t>
      </w:r>
      <w:r w:rsidR="007C4AEF">
        <w:rPr>
          <w:rFonts w:ascii="仿宋_GB2312" w:eastAsia="仿宋_GB2312" w:hint="eastAsia"/>
          <w:sz w:val="32"/>
          <w:szCs w:val="32"/>
        </w:rPr>
        <w:t>、</w:t>
      </w:r>
      <w:r w:rsidR="007C4AEF">
        <w:rPr>
          <w:rFonts w:ascii="仿宋_GB2312" w:eastAsia="仿宋_GB2312" w:hint="eastAsia"/>
          <w:sz w:val="32"/>
          <w:szCs w:val="32"/>
        </w:rPr>
        <w:t>人保健康</w:t>
      </w:r>
      <w:r w:rsidR="007C4AEF">
        <w:rPr>
          <w:rFonts w:ascii="仿宋_GB2312" w:eastAsia="仿宋_GB2312" w:hint="eastAsia"/>
          <w:sz w:val="32"/>
          <w:szCs w:val="32"/>
        </w:rPr>
        <w:t>、</w:t>
      </w:r>
      <w:r w:rsidR="00053978">
        <w:rPr>
          <w:rFonts w:ascii="仿宋_GB2312" w:eastAsia="仿宋_GB2312" w:hint="eastAsia"/>
          <w:sz w:val="32"/>
          <w:szCs w:val="32"/>
        </w:rPr>
        <w:t>富德</w:t>
      </w:r>
      <w:r w:rsidR="00432CB5">
        <w:rPr>
          <w:rFonts w:ascii="仿宋_GB2312" w:eastAsia="仿宋_GB2312" w:hint="eastAsia"/>
          <w:sz w:val="32"/>
          <w:szCs w:val="32"/>
        </w:rPr>
        <w:t>生命</w:t>
      </w:r>
      <w:r w:rsidR="007C4AEF">
        <w:rPr>
          <w:rFonts w:ascii="仿宋_GB2312" w:eastAsia="仿宋_GB2312" w:hint="eastAsia"/>
          <w:sz w:val="32"/>
          <w:szCs w:val="32"/>
        </w:rPr>
        <w:t>人寿</w:t>
      </w:r>
      <w:r w:rsidR="00F70AC3">
        <w:rPr>
          <w:rFonts w:ascii="仿宋_GB2312" w:eastAsia="仿宋_GB2312" w:hint="eastAsia"/>
          <w:sz w:val="32"/>
          <w:szCs w:val="32"/>
        </w:rPr>
        <w:t>意外险</w:t>
      </w:r>
      <w:r w:rsidRPr="00CA539D">
        <w:rPr>
          <w:rFonts w:ascii="仿宋_GB2312" w:eastAsia="仿宋_GB2312" w:hint="eastAsia"/>
          <w:sz w:val="32"/>
          <w:szCs w:val="32"/>
        </w:rPr>
        <w:t>市场份额居前3位，分别为</w:t>
      </w:r>
      <w:r w:rsidR="007C4AEF">
        <w:rPr>
          <w:rFonts w:ascii="仿宋_GB2312" w:eastAsia="仿宋_GB2312" w:hint="eastAsia"/>
          <w:sz w:val="32"/>
          <w:szCs w:val="32"/>
        </w:rPr>
        <w:t>24.33</w:t>
      </w:r>
      <w:r w:rsidRPr="00CA539D">
        <w:rPr>
          <w:rFonts w:ascii="仿宋_GB2312" w:eastAsia="仿宋_GB2312" w:hint="eastAsia"/>
          <w:sz w:val="32"/>
          <w:szCs w:val="32"/>
        </w:rPr>
        <w:t>%、</w:t>
      </w:r>
      <w:r w:rsidR="007C4AEF">
        <w:rPr>
          <w:rFonts w:ascii="仿宋_GB2312" w:eastAsia="仿宋_GB2312" w:hint="eastAsia"/>
          <w:sz w:val="32"/>
          <w:szCs w:val="32"/>
        </w:rPr>
        <w:t>16.4</w:t>
      </w:r>
      <w:r w:rsidRPr="00CA539D">
        <w:rPr>
          <w:rFonts w:ascii="仿宋_GB2312" w:eastAsia="仿宋_GB2312" w:hint="eastAsia"/>
          <w:sz w:val="32"/>
          <w:szCs w:val="32"/>
        </w:rPr>
        <w:t>%和</w:t>
      </w:r>
      <w:r w:rsidR="007C4AEF">
        <w:rPr>
          <w:rFonts w:ascii="仿宋_GB2312" w:eastAsia="仿宋_GB2312" w:hint="eastAsia"/>
          <w:sz w:val="32"/>
          <w:szCs w:val="32"/>
        </w:rPr>
        <w:t>16.08</w:t>
      </w:r>
      <w:r w:rsidRPr="00CA539D">
        <w:rPr>
          <w:rFonts w:ascii="仿宋_GB2312" w:eastAsia="仿宋_GB2312" w:hint="eastAsia"/>
          <w:sz w:val="32"/>
          <w:szCs w:val="32"/>
        </w:rPr>
        <w:t>%</w:t>
      </w:r>
      <w:r w:rsidR="00004651">
        <w:rPr>
          <w:rFonts w:ascii="仿宋_GB2312" w:eastAsia="仿宋_GB2312" w:hint="eastAsia"/>
          <w:sz w:val="32"/>
          <w:szCs w:val="32"/>
        </w:rPr>
        <w:t>；健康险</w:t>
      </w:r>
      <w:r w:rsidRPr="00CA539D">
        <w:rPr>
          <w:rFonts w:ascii="仿宋_GB2312" w:eastAsia="仿宋_GB2312" w:hint="eastAsia"/>
          <w:sz w:val="32"/>
          <w:szCs w:val="32"/>
        </w:rPr>
        <w:t>保费收入</w:t>
      </w:r>
      <w:r w:rsidR="007C4AEF">
        <w:rPr>
          <w:rFonts w:ascii="仿宋_GB2312" w:eastAsia="仿宋_GB2312" w:hint="eastAsia"/>
          <w:sz w:val="32"/>
          <w:szCs w:val="32"/>
        </w:rPr>
        <w:t>54</w:t>
      </w:r>
      <w:r w:rsidRPr="00CA539D">
        <w:rPr>
          <w:rFonts w:ascii="仿宋_GB2312" w:eastAsia="仿宋_GB2312" w:hint="eastAsia"/>
          <w:sz w:val="32"/>
          <w:szCs w:val="32"/>
        </w:rPr>
        <w:t>,</w:t>
      </w:r>
      <w:r w:rsidR="007C4AEF">
        <w:rPr>
          <w:rFonts w:ascii="仿宋_GB2312" w:eastAsia="仿宋_GB2312" w:hint="eastAsia"/>
          <w:sz w:val="32"/>
          <w:szCs w:val="32"/>
        </w:rPr>
        <w:t>465</w:t>
      </w:r>
      <w:r w:rsidRPr="00CA539D">
        <w:rPr>
          <w:rFonts w:ascii="仿宋_GB2312" w:eastAsia="仿宋_GB2312" w:hint="eastAsia"/>
          <w:sz w:val="32"/>
          <w:szCs w:val="32"/>
        </w:rPr>
        <w:lastRenderedPageBreak/>
        <w:t>万元，人保健康、新华人寿、</w:t>
      </w:r>
      <w:r w:rsidR="00B22408">
        <w:rPr>
          <w:rFonts w:ascii="仿宋_GB2312" w:eastAsia="仿宋_GB2312" w:hint="eastAsia"/>
          <w:sz w:val="32"/>
          <w:szCs w:val="32"/>
        </w:rPr>
        <w:t>平安</w:t>
      </w:r>
      <w:r w:rsidRPr="00CA539D">
        <w:rPr>
          <w:rFonts w:ascii="仿宋_GB2312" w:eastAsia="仿宋_GB2312" w:hint="eastAsia"/>
          <w:sz w:val="32"/>
          <w:szCs w:val="32"/>
        </w:rPr>
        <w:t>人寿的</w:t>
      </w:r>
      <w:r w:rsidR="00F70AC3">
        <w:rPr>
          <w:rFonts w:ascii="仿宋_GB2312" w:eastAsia="仿宋_GB2312" w:hint="eastAsia"/>
          <w:sz w:val="32"/>
          <w:szCs w:val="32"/>
        </w:rPr>
        <w:t>健康险</w:t>
      </w:r>
      <w:r w:rsidRPr="00CA539D">
        <w:rPr>
          <w:rFonts w:ascii="仿宋_GB2312" w:eastAsia="仿宋_GB2312" w:hint="eastAsia"/>
          <w:sz w:val="32"/>
          <w:szCs w:val="32"/>
        </w:rPr>
        <w:t>市场份额居前3位，分别为</w:t>
      </w:r>
      <w:r w:rsidR="007C4AEF">
        <w:rPr>
          <w:rFonts w:ascii="仿宋_GB2312" w:eastAsia="仿宋_GB2312" w:hint="eastAsia"/>
          <w:sz w:val="32"/>
          <w:szCs w:val="32"/>
        </w:rPr>
        <w:t>20.23</w:t>
      </w:r>
      <w:r w:rsidRPr="00CA539D">
        <w:rPr>
          <w:rFonts w:ascii="仿宋_GB2312" w:eastAsia="仿宋_GB2312" w:hint="eastAsia"/>
          <w:sz w:val="32"/>
          <w:szCs w:val="32"/>
        </w:rPr>
        <w:t>%、</w:t>
      </w:r>
      <w:r w:rsidR="007C4AEF">
        <w:rPr>
          <w:rFonts w:ascii="仿宋_GB2312" w:eastAsia="仿宋_GB2312" w:hint="eastAsia"/>
          <w:sz w:val="32"/>
          <w:szCs w:val="32"/>
        </w:rPr>
        <w:t>13.63</w:t>
      </w:r>
      <w:r w:rsidRPr="00CA539D">
        <w:rPr>
          <w:rFonts w:ascii="仿宋_GB2312" w:eastAsia="仿宋_GB2312" w:hint="eastAsia"/>
          <w:sz w:val="32"/>
          <w:szCs w:val="32"/>
        </w:rPr>
        <w:t>%和</w:t>
      </w:r>
      <w:r w:rsidR="007C4AEF">
        <w:rPr>
          <w:rFonts w:ascii="仿宋_GB2312" w:eastAsia="仿宋_GB2312" w:hint="eastAsia"/>
          <w:sz w:val="32"/>
          <w:szCs w:val="32"/>
        </w:rPr>
        <w:t>13.06</w:t>
      </w:r>
      <w:r w:rsidRPr="00CA539D">
        <w:rPr>
          <w:rFonts w:ascii="仿宋_GB2312" w:eastAsia="仿宋_GB2312" w:hint="eastAsia"/>
          <w:sz w:val="32"/>
          <w:szCs w:val="32"/>
        </w:rPr>
        <w:t>%。</w:t>
      </w:r>
    </w:p>
    <w:p w:rsidR="00053978" w:rsidRDefault="003923E4" w:rsidP="00053978">
      <w:pPr>
        <w:ind w:leftChars="-67" w:left="-141" w:rightChars="-364" w:right="-764" w:firstLine="229"/>
        <w:rPr>
          <w:rFonts w:ascii="楷体_GB2312" w:eastAsia="楷体_GB2312" w:hAnsi="宋体"/>
          <w:b/>
          <w:sz w:val="32"/>
          <w:szCs w:val="32"/>
        </w:rPr>
      </w:pPr>
      <w:r>
        <w:rPr>
          <w:noProof/>
        </w:rPr>
        <w:drawing>
          <wp:inline distT="0" distB="0" distL="0" distR="0" wp14:anchorId="38BC0EA6" wp14:editId="4A342246">
            <wp:extent cx="6010275" cy="3543300"/>
            <wp:effectExtent l="0" t="0" r="0"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53978" w:rsidRDefault="00053978" w:rsidP="00053978">
      <w:pPr>
        <w:ind w:leftChars="-67" w:left="-141" w:rightChars="-364" w:right="-764" w:firstLine="229"/>
        <w:rPr>
          <w:rFonts w:ascii="楷体_GB2312" w:eastAsia="楷体_GB2312" w:hAnsi="宋体"/>
          <w:b/>
          <w:sz w:val="32"/>
          <w:szCs w:val="32"/>
        </w:rPr>
      </w:pPr>
    </w:p>
    <w:p w:rsidR="00B22408" w:rsidRDefault="003923E4" w:rsidP="00053978">
      <w:pPr>
        <w:ind w:leftChars="-67" w:left="-141" w:rightChars="-364" w:right="-764" w:firstLine="229"/>
        <w:rPr>
          <w:rFonts w:ascii="楷体_GB2312" w:eastAsia="楷体_GB2312" w:hAnsi="宋体"/>
          <w:b/>
          <w:sz w:val="32"/>
          <w:szCs w:val="32"/>
        </w:rPr>
      </w:pPr>
      <w:r>
        <w:rPr>
          <w:noProof/>
        </w:rPr>
        <w:drawing>
          <wp:inline distT="0" distB="0" distL="0" distR="0" wp14:anchorId="77261B5A" wp14:editId="502DAE3A">
            <wp:extent cx="6057900" cy="3857625"/>
            <wp:effectExtent l="0" t="0" r="0" b="0"/>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A539D" w:rsidRPr="00CA539D" w:rsidRDefault="00CA539D" w:rsidP="003923E4">
      <w:pPr>
        <w:ind w:leftChars="42" w:left="731" w:rightChars="-364" w:right="-764" w:hangingChars="200" w:hanging="643"/>
        <w:rPr>
          <w:rFonts w:ascii="楷体_GB2312" w:eastAsia="楷体_GB2312" w:hAnsi="宋体"/>
          <w:sz w:val="32"/>
          <w:szCs w:val="32"/>
        </w:rPr>
      </w:pPr>
      <w:r w:rsidRPr="00CA539D">
        <w:rPr>
          <w:rFonts w:ascii="楷体_GB2312" w:eastAsia="楷体_GB2312" w:hAnsi="宋体" w:hint="eastAsia"/>
          <w:b/>
          <w:sz w:val="32"/>
          <w:szCs w:val="32"/>
        </w:rPr>
        <w:lastRenderedPageBreak/>
        <w:t>（五）营销人力</w:t>
      </w:r>
    </w:p>
    <w:p w:rsidR="00621AB3" w:rsidRDefault="00CA539D" w:rsidP="00621AB3">
      <w:pPr>
        <w:ind w:firstLineChars="200" w:firstLine="640"/>
        <w:rPr>
          <w:rFonts w:ascii="仿宋_GB2312" w:eastAsia="仿宋_GB2312" w:hAnsi="宋体"/>
          <w:sz w:val="32"/>
          <w:szCs w:val="32"/>
        </w:rPr>
      </w:pPr>
      <w:r w:rsidRPr="00CA539D">
        <w:rPr>
          <w:rFonts w:ascii="仿宋_GB2312" w:eastAsia="仿宋_GB2312" w:hAnsi="宋体" w:hint="eastAsia"/>
          <w:sz w:val="32"/>
          <w:szCs w:val="32"/>
        </w:rPr>
        <w:t>截至</w:t>
      </w:r>
      <w:r w:rsidR="00337CD4">
        <w:rPr>
          <w:rFonts w:ascii="仿宋_GB2312" w:eastAsia="仿宋_GB2312" w:hAnsi="宋体" w:hint="eastAsia"/>
          <w:sz w:val="32"/>
          <w:szCs w:val="32"/>
        </w:rPr>
        <w:t>9</w:t>
      </w:r>
      <w:r w:rsidRPr="00CA539D">
        <w:rPr>
          <w:rFonts w:ascii="仿宋_GB2312" w:eastAsia="仿宋_GB2312" w:hAnsi="宋体" w:hint="eastAsia"/>
          <w:sz w:val="32"/>
          <w:szCs w:val="32"/>
        </w:rPr>
        <w:t>月</w:t>
      </w:r>
      <w:r w:rsidR="009E7254">
        <w:rPr>
          <w:rFonts w:ascii="仿宋_GB2312" w:eastAsia="仿宋_GB2312" w:hAnsi="宋体" w:hint="eastAsia"/>
          <w:sz w:val="32"/>
          <w:szCs w:val="32"/>
        </w:rPr>
        <w:t>30</w:t>
      </w:r>
      <w:r w:rsidRPr="00CA539D">
        <w:rPr>
          <w:rFonts w:ascii="仿宋_GB2312" w:eastAsia="仿宋_GB2312" w:hAnsi="宋体" w:hint="eastAsia"/>
          <w:sz w:val="32"/>
          <w:szCs w:val="32"/>
        </w:rPr>
        <w:t>日，各机构营销员</w:t>
      </w:r>
      <w:r w:rsidR="00241E10">
        <w:rPr>
          <w:rFonts w:ascii="仿宋_GB2312" w:eastAsia="仿宋_GB2312" w:hAnsi="宋体" w:hint="eastAsia"/>
          <w:sz w:val="32"/>
          <w:szCs w:val="32"/>
        </w:rPr>
        <w:t>11</w:t>
      </w:r>
      <w:r w:rsidRPr="00CA539D">
        <w:rPr>
          <w:rFonts w:ascii="仿宋_GB2312" w:eastAsia="仿宋_GB2312" w:hAnsi="宋体" w:hint="eastAsia"/>
          <w:sz w:val="32"/>
          <w:szCs w:val="32"/>
        </w:rPr>
        <w:t>,</w:t>
      </w:r>
      <w:r w:rsidR="00241E10">
        <w:rPr>
          <w:rFonts w:ascii="仿宋_GB2312" w:eastAsia="仿宋_GB2312" w:hAnsi="宋体" w:hint="eastAsia"/>
          <w:sz w:val="32"/>
          <w:szCs w:val="32"/>
        </w:rPr>
        <w:t>464</w:t>
      </w:r>
      <w:r w:rsidRPr="00CA539D">
        <w:rPr>
          <w:rFonts w:ascii="仿宋_GB2312" w:eastAsia="仿宋_GB2312" w:hAnsi="宋体" w:hint="eastAsia"/>
          <w:sz w:val="32"/>
          <w:szCs w:val="32"/>
        </w:rPr>
        <w:t>人，同比</w:t>
      </w:r>
      <w:r w:rsidR="001A09AB">
        <w:rPr>
          <w:rFonts w:ascii="仿宋_GB2312" w:eastAsia="仿宋_GB2312" w:hAnsi="宋体" w:hint="eastAsia"/>
          <w:sz w:val="32"/>
          <w:szCs w:val="32"/>
        </w:rPr>
        <w:t>增加</w:t>
      </w:r>
      <w:r w:rsidR="003F1A1A">
        <w:rPr>
          <w:rFonts w:ascii="仿宋_GB2312" w:eastAsia="仿宋_GB2312" w:hAnsi="宋体" w:hint="eastAsia"/>
          <w:sz w:val="32"/>
          <w:szCs w:val="32"/>
        </w:rPr>
        <w:t>296</w:t>
      </w:r>
      <w:r w:rsidRPr="00CA539D">
        <w:rPr>
          <w:rFonts w:ascii="仿宋_GB2312" w:eastAsia="仿宋_GB2312" w:hAnsi="宋体" w:hint="eastAsia"/>
          <w:sz w:val="32"/>
          <w:szCs w:val="32"/>
        </w:rPr>
        <w:t>人，活动人数</w:t>
      </w:r>
      <w:r w:rsidR="003F1A1A">
        <w:rPr>
          <w:rFonts w:ascii="仿宋_GB2312" w:eastAsia="仿宋_GB2312" w:hAnsi="宋体" w:hint="eastAsia"/>
          <w:sz w:val="32"/>
          <w:szCs w:val="32"/>
        </w:rPr>
        <w:t>3</w:t>
      </w:r>
      <w:r w:rsidRPr="00CA539D">
        <w:rPr>
          <w:rFonts w:ascii="仿宋_GB2312" w:eastAsia="仿宋_GB2312" w:hAnsi="宋体" w:hint="eastAsia"/>
          <w:sz w:val="32"/>
          <w:szCs w:val="32"/>
        </w:rPr>
        <w:t>,</w:t>
      </w:r>
      <w:r w:rsidR="003F1A1A">
        <w:rPr>
          <w:rFonts w:ascii="仿宋_GB2312" w:eastAsia="仿宋_GB2312" w:hAnsi="宋体" w:hint="eastAsia"/>
          <w:sz w:val="32"/>
          <w:szCs w:val="32"/>
        </w:rPr>
        <w:t>081</w:t>
      </w:r>
      <w:r w:rsidRPr="00CA539D">
        <w:rPr>
          <w:rFonts w:ascii="仿宋_GB2312" w:eastAsia="仿宋_GB2312" w:hAnsi="宋体" w:hint="eastAsia"/>
          <w:sz w:val="32"/>
          <w:szCs w:val="32"/>
        </w:rPr>
        <w:t>人，同比减少</w:t>
      </w:r>
      <w:r w:rsidR="003F1A1A">
        <w:rPr>
          <w:rFonts w:ascii="仿宋_GB2312" w:eastAsia="仿宋_GB2312" w:hAnsi="宋体" w:hint="eastAsia"/>
          <w:sz w:val="32"/>
          <w:szCs w:val="32"/>
        </w:rPr>
        <w:t>1,407</w:t>
      </w:r>
      <w:r w:rsidRPr="00CA539D">
        <w:rPr>
          <w:rFonts w:ascii="仿宋_GB2312" w:eastAsia="仿宋_GB2312" w:hAnsi="宋体" w:hint="eastAsia"/>
          <w:sz w:val="32"/>
          <w:szCs w:val="32"/>
        </w:rPr>
        <w:t>人；人均产能</w:t>
      </w:r>
      <w:r w:rsidR="003F1A1A">
        <w:rPr>
          <w:rFonts w:ascii="仿宋_GB2312" w:eastAsia="仿宋_GB2312" w:hAnsi="宋体" w:hint="eastAsia"/>
          <w:sz w:val="32"/>
          <w:szCs w:val="32"/>
        </w:rPr>
        <w:t>9039.27</w:t>
      </w:r>
      <w:r w:rsidRPr="00CA539D">
        <w:rPr>
          <w:rFonts w:ascii="仿宋_GB2312" w:eastAsia="仿宋_GB2312" w:hAnsi="宋体" w:hint="eastAsia"/>
          <w:sz w:val="32"/>
          <w:szCs w:val="32"/>
        </w:rPr>
        <w:t>元，同比</w:t>
      </w:r>
      <w:r w:rsidR="003F1A1A">
        <w:rPr>
          <w:rFonts w:ascii="仿宋_GB2312" w:eastAsia="仿宋_GB2312" w:hAnsi="宋体" w:hint="eastAsia"/>
          <w:sz w:val="32"/>
          <w:szCs w:val="32"/>
        </w:rPr>
        <w:t>减少</w:t>
      </w:r>
      <w:r w:rsidR="00877925">
        <w:rPr>
          <w:rFonts w:ascii="仿宋_GB2312" w:eastAsia="仿宋_GB2312" w:hAnsi="宋体" w:hint="eastAsia"/>
          <w:sz w:val="32"/>
          <w:szCs w:val="32"/>
        </w:rPr>
        <w:t>414.82</w:t>
      </w:r>
      <w:r w:rsidRPr="00CA539D">
        <w:rPr>
          <w:rFonts w:ascii="仿宋_GB2312" w:eastAsia="仿宋_GB2312" w:hAnsi="宋体" w:hint="eastAsia"/>
          <w:sz w:val="32"/>
          <w:szCs w:val="32"/>
        </w:rPr>
        <w:t>元。</w:t>
      </w:r>
    </w:p>
    <w:p w:rsidR="00732F61" w:rsidRDefault="00877925" w:rsidP="00877925">
      <w:pPr>
        <w:ind w:leftChars="-472" w:left="-991" w:firstLineChars="200" w:firstLine="420"/>
        <w:rPr>
          <w:rFonts w:ascii="仿宋_GB2312" w:eastAsia="仿宋_GB2312" w:hAnsi="宋体"/>
          <w:sz w:val="32"/>
          <w:szCs w:val="32"/>
        </w:rPr>
      </w:pPr>
      <w:r>
        <w:rPr>
          <w:noProof/>
        </w:rPr>
        <w:drawing>
          <wp:inline distT="0" distB="0" distL="0" distR="0" wp14:anchorId="166F721B" wp14:editId="7F152A24">
            <wp:extent cx="6391275" cy="3524250"/>
            <wp:effectExtent l="0" t="0" r="0" b="0"/>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21AB3" w:rsidRDefault="00621AB3" w:rsidP="00621AB3">
      <w:pPr>
        <w:ind w:firstLineChars="200" w:firstLine="640"/>
        <w:rPr>
          <w:rFonts w:ascii="仿宋_GB2312" w:eastAsia="仿宋_GB2312" w:hAnsi="宋体"/>
          <w:sz w:val="32"/>
          <w:szCs w:val="32"/>
        </w:rPr>
      </w:pPr>
    </w:p>
    <w:p w:rsidR="00621AB3" w:rsidRDefault="00877925" w:rsidP="00877925">
      <w:pPr>
        <w:ind w:leftChars="-270" w:hangingChars="270" w:hanging="567"/>
        <w:rPr>
          <w:rFonts w:ascii="楷体_GB2312" w:eastAsia="楷体_GB2312" w:hAnsi="宋体"/>
          <w:b/>
          <w:sz w:val="32"/>
          <w:szCs w:val="32"/>
        </w:rPr>
      </w:pPr>
      <w:r>
        <w:rPr>
          <w:noProof/>
        </w:rPr>
        <w:drawing>
          <wp:inline distT="0" distB="0" distL="0" distR="0" wp14:anchorId="145E222A" wp14:editId="03C5E3EC">
            <wp:extent cx="6438900" cy="3200400"/>
            <wp:effectExtent l="0" t="0" r="0" b="0"/>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21AB3" w:rsidRDefault="00621AB3" w:rsidP="00621AB3">
      <w:pPr>
        <w:ind w:firstLineChars="200" w:firstLine="643"/>
        <w:rPr>
          <w:rFonts w:ascii="楷体_GB2312" w:eastAsia="楷体_GB2312" w:hAnsi="宋体"/>
          <w:b/>
          <w:sz w:val="32"/>
          <w:szCs w:val="32"/>
        </w:rPr>
      </w:pPr>
    </w:p>
    <w:p w:rsidR="00621AB3" w:rsidRDefault="00877925" w:rsidP="00877925">
      <w:pPr>
        <w:ind w:leftChars="-202" w:left="-141" w:hangingChars="135" w:hanging="283"/>
        <w:rPr>
          <w:rFonts w:ascii="楷体_GB2312" w:eastAsia="楷体_GB2312" w:hAnsi="宋体"/>
          <w:b/>
          <w:sz w:val="32"/>
          <w:szCs w:val="32"/>
        </w:rPr>
      </w:pPr>
      <w:r>
        <w:rPr>
          <w:noProof/>
        </w:rPr>
        <w:drawing>
          <wp:inline distT="0" distB="0" distL="0" distR="0" wp14:anchorId="36DC7B20" wp14:editId="70A7A7DA">
            <wp:extent cx="6105525" cy="3114675"/>
            <wp:effectExtent l="0" t="0" r="0" b="0"/>
            <wp:docPr id="30" name="图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A539D" w:rsidRPr="00CA539D" w:rsidRDefault="00CA539D" w:rsidP="00CA539D">
      <w:pPr>
        <w:ind w:firstLineChars="220" w:firstLine="707"/>
        <w:rPr>
          <w:rFonts w:ascii="楷体_GB2312" w:eastAsia="楷体_GB2312" w:hAnsi="宋体"/>
          <w:b/>
          <w:sz w:val="32"/>
          <w:szCs w:val="32"/>
        </w:rPr>
      </w:pPr>
      <w:r w:rsidRPr="00CA539D">
        <w:rPr>
          <w:rFonts w:ascii="楷体_GB2312" w:eastAsia="楷体_GB2312" w:hAnsi="宋体" w:hint="eastAsia"/>
          <w:b/>
          <w:sz w:val="32"/>
          <w:szCs w:val="32"/>
        </w:rPr>
        <w:t>（六）县域发展</w:t>
      </w:r>
    </w:p>
    <w:p w:rsidR="00DB7295" w:rsidRDefault="00CA539D" w:rsidP="00DB7295">
      <w:pPr>
        <w:ind w:leftChars="135" w:left="283" w:firstLineChars="135" w:firstLine="432"/>
        <w:rPr>
          <w:rFonts w:ascii="仿宋_GB2312" w:eastAsia="仿宋_GB2312"/>
          <w:sz w:val="32"/>
          <w:szCs w:val="32"/>
        </w:rPr>
      </w:pPr>
      <w:r w:rsidRPr="00CA539D">
        <w:rPr>
          <w:rFonts w:ascii="仿宋_GB2312" w:eastAsia="仿宋_GB2312" w:hAnsi="宋体" w:hint="eastAsia"/>
          <w:sz w:val="32"/>
          <w:szCs w:val="32"/>
        </w:rPr>
        <w:t>截至</w:t>
      </w:r>
      <w:r w:rsidR="001D56BD">
        <w:rPr>
          <w:rFonts w:ascii="仿宋_GB2312" w:eastAsia="仿宋_GB2312" w:hAnsi="宋体" w:hint="eastAsia"/>
          <w:sz w:val="32"/>
          <w:szCs w:val="32"/>
        </w:rPr>
        <w:t>9</w:t>
      </w:r>
      <w:r w:rsidRPr="00CA539D">
        <w:rPr>
          <w:rFonts w:ascii="仿宋_GB2312" w:eastAsia="仿宋_GB2312" w:hAnsi="宋体" w:hint="eastAsia"/>
          <w:sz w:val="32"/>
          <w:szCs w:val="32"/>
        </w:rPr>
        <w:t>月</w:t>
      </w:r>
      <w:r w:rsidR="007F56D7">
        <w:rPr>
          <w:rFonts w:ascii="仿宋_GB2312" w:eastAsia="仿宋_GB2312" w:hAnsi="宋体" w:hint="eastAsia"/>
          <w:sz w:val="32"/>
          <w:szCs w:val="32"/>
        </w:rPr>
        <w:t>30</w:t>
      </w:r>
      <w:r w:rsidRPr="00CA539D">
        <w:rPr>
          <w:rFonts w:ascii="仿宋_GB2312" w:eastAsia="仿宋_GB2312" w:hAnsi="宋体" w:hint="eastAsia"/>
          <w:sz w:val="32"/>
          <w:szCs w:val="32"/>
        </w:rPr>
        <w:t>日</w:t>
      </w:r>
      <w:r w:rsidR="00004651">
        <w:rPr>
          <w:rFonts w:ascii="仿宋_GB2312" w:eastAsia="仿宋_GB2312" w:hint="eastAsia"/>
          <w:sz w:val="32"/>
          <w:szCs w:val="32"/>
        </w:rPr>
        <w:t>，我市县域人身</w:t>
      </w:r>
      <w:proofErr w:type="gramStart"/>
      <w:r w:rsidR="00004651">
        <w:rPr>
          <w:rFonts w:ascii="仿宋_GB2312" w:eastAsia="仿宋_GB2312" w:hint="eastAsia"/>
          <w:sz w:val="32"/>
          <w:szCs w:val="32"/>
        </w:rPr>
        <w:t>险机构</w:t>
      </w:r>
      <w:proofErr w:type="gramEnd"/>
      <w:r w:rsidRPr="00CA539D">
        <w:rPr>
          <w:rFonts w:ascii="仿宋_GB2312" w:eastAsia="仿宋_GB2312" w:hint="eastAsia"/>
          <w:sz w:val="32"/>
          <w:szCs w:val="32"/>
        </w:rPr>
        <w:t>保费</w:t>
      </w:r>
      <w:r w:rsidR="00004651">
        <w:rPr>
          <w:rFonts w:ascii="仿宋_GB2312" w:eastAsia="仿宋_GB2312" w:hint="eastAsia"/>
          <w:sz w:val="32"/>
          <w:szCs w:val="32"/>
        </w:rPr>
        <w:t>收入</w:t>
      </w:r>
      <w:r w:rsidR="001D56BD">
        <w:rPr>
          <w:rFonts w:ascii="仿宋_GB2312" w:eastAsia="仿宋_GB2312" w:hint="eastAsia"/>
          <w:sz w:val="32"/>
          <w:szCs w:val="32"/>
        </w:rPr>
        <w:t>94</w:t>
      </w:r>
      <w:r w:rsidRPr="00CA539D">
        <w:rPr>
          <w:rFonts w:ascii="仿宋_GB2312" w:eastAsia="仿宋_GB2312" w:hint="eastAsia"/>
          <w:sz w:val="32"/>
          <w:szCs w:val="32"/>
        </w:rPr>
        <w:t>,</w:t>
      </w:r>
      <w:r w:rsidR="001D56BD">
        <w:rPr>
          <w:rFonts w:ascii="仿宋_GB2312" w:eastAsia="仿宋_GB2312" w:hint="eastAsia"/>
          <w:sz w:val="32"/>
          <w:szCs w:val="32"/>
        </w:rPr>
        <w:t>668</w:t>
      </w:r>
      <w:r w:rsidRPr="00CA539D">
        <w:rPr>
          <w:rFonts w:ascii="仿宋_GB2312" w:eastAsia="仿宋_GB2312" w:hint="eastAsia"/>
          <w:sz w:val="32"/>
          <w:szCs w:val="32"/>
        </w:rPr>
        <w:t>万元，同比</w:t>
      </w:r>
      <w:r w:rsidR="00706089">
        <w:rPr>
          <w:rFonts w:ascii="仿宋_GB2312" w:eastAsia="仿宋_GB2312" w:hint="eastAsia"/>
          <w:sz w:val="32"/>
          <w:szCs w:val="32"/>
        </w:rPr>
        <w:t>减少</w:t>
      </w:r>
      <w:r w:rsidR="001D56BD">
        <w:rPr>
          <w:rFonts w:ascii="仿宋_GB2312" w:eastAsia="仿宋_GB2312" w:hint="eastAsia"/>
          <w:sz w:val="32"/>
          <w:szCs w:val="32"/>
        </w:rPr>
        <w:t>693</w:t>
      </w:r>
      <w:r w:rsidRPr="00CA539D">
        <w:rPr>
          <w:rFonts w:ascii="仿宋_GB2312" w:eastAsia="仿宋_GB2312" w:hint="eastAsia"/>
          <w:sz w:val="32"/>
          <w:szCs w:val="32"/>
        </w:rPr>
        <w:t>万元，</w:t>
      </w:r>
      <w:r w:rsidR="00004651">
        <w:rPr>
          <w:rFonts w:ascii="仿宋_GB2312" w:eastAsia="仿宋_GB2312" w:hint="eastAsia"/>
          <w:sz w:val="32"/>
          <w:szCs w:val="32"/>
        </w:rPr>
        <w:t>同比</w:t>
      </w:r>
      <w:r w:rsidR="00706089">
        <w:rPr>
          <w:rFonts w:ascii="仿宋_GB2312" w:eastAsia="仿宋_GB2312" w:hint="eastAsia"/>
          <w:sz w:val="32"/>
          <w:szCs w:val="32"/>
        </w:rPr>
        <w:t>下降</w:t>
      </w:r>
      <w:r w:rsidR="001D56BD">
        <w:rPr>
          <w:rFonts w:ascii="仿宋_GB2312" w:eastAsia="仿宋_GB2312" w:hint="eastAsia"/>
          <w:sz w:val="32"/>
          <w:szCs w:val="32"/>
        </w:rPr>
        <w:t>0.73</w:t>
      </w:r>
      <w:r w:rsidRPr="00CA539D">
        <w:rPr>
          <w:rFonts w:ascii="仿宋_GB2312" w:eastAsia="仿宋_GB2312" w:hint="eastAsia"/>
          <w:sz w:val="32"/>
          <w:szCs w:val="32"/>
        </w:rPr>
        <w:t>%。其中：东港</w:t>
      </w:r>
      <w:r w:rsidR="001D56BD">
        <w:rPr>
          <w:rFonts w:ascii="仿宋_GB2312" w:eastAsia="仿宋_GB2312" w:hint="eastAsia"/>
          <w:sz w:val="32"/>
          <w:szCs w:val="32"/>
        </w:rPr>
        <w:t>61</w:t>
      </w:r>
      <w:r w:rsidRPr="00CA539D">
        <w:rPr>
          <w:rFonts w:ascii="仿宋_GB2312" w:eastAsia="仿宋_GB2312" w:hint="eastAsia"/>
          <w:sz w:val="32"/>
          <w:szCs w:val="32"/>
        </w:rPr>
        <w:t>,</w:t>
      </w:r>
      <w:r w:rsidR="001D56BD">
        <w:rPr>
          <w:rFonts w:ascii="仿宋_GB2312" w:eastAsia="仿宋_GB2312" w:hint="eastAsia"/>
          <w:sz w:val="32"/>
          <w:szCs w:val="32"/>
        </w:rPr>
        <w:t>365</w:t>
      </w:r>
      <w:r w:rsidRPr="00CA539D">
        <w:rPr>
          <w:rFonts w:ascii="仿宋_GB2312" w:eastAsia="仿宋_GB2312" w:hint="eastAsia"/>
          <w:sz w:val="32"/>
          <w:szCs w:val="32"/>
        </w:rPr>
        <w:t>万元，</w:t>
      </w:r>
      <w:r w:rsidR="00004651">
        <w:rPr>
          <w:rFonts w:ascii="仿宋_GB2312" w:eastAsia="仿宋_GB2312" w:hint="eastAsia"/>
          <w:sz w:val="32"/>
          <w:szCs w:val="32"/>
        </w:rPr>
        <w:t>同比</w:t>
      </w:r>
      <w:r w:rsidR="00706089">
        <w:rPr>
          <w:rFonts w:ascii="仿宋_GB2312" w:eastAsia="仿宋_GB2312" w:hint="eastAsia"/>
          <w:sz w:val="32"/>
          <w:szCs w:val="32"/>
        </w:rPr>
        <w:t>下降</w:t>
      </w:r>
      <w:r w:rsidR="001D56BD">
        <w:rPr>
          <w:rFonts w:ascii="仿宋_GB2312" w:eastAsia="仿宋_GB2312" w:hint="eastAsia"/>
          <w:sz w:val="32"/>
          <w:szCs w:val="32"/>
        </w:rPr>
        <w:t>6</w:t>
      </w:r>
      <w:r w:rsidR="00706089">
        <w:rPr>
          <w:rFonts w:ascii="仿宋_GB2312" w:eastAsia="仿宋_GB2312" w:hint="eastAsia"/>
          <w:sz w:val="32"/>
          <w:szCs w:val="32"/>
        </w:rPr>
        <w:t>.</w:t>
      </w:r>
      <w:r w:rsidR="001D56BD">
        <w:rPr>
          <w:rFonts w:ascii="仿宋_GB2312" w:eastAsia="仿宋_GB2312" w:hint="eastAsia"/>
          <w:sz w:val="32"/>
          <w:szCs w:val="32"/>
        </w:rPr>
        <w:t>05</w:t>
      </w:r>
      <w:r w:rsidRPr="00CA539D">
        <w:rPr>
          <w:rFonts w:ascii="仿宋_GB2312" w:eastAsia="仿宋_GB2312" w:hint="eastAsia"/>
          <w:sz w:val="32"/>
          <w:szCs w:val="32"/>
        </w:rPr>
        <w:t>%；凤城</w:t>
      </w:r>
      <w:r w:rsidR="001D56BD">
        <w:rPr>
          <w:rFonts w:ascii="仿宋_GB2312" w:eastAsia="仿宋_GB2312" w:hint="eastAsia"/>
          <w:sz w:val="32"/>
          <w:szCs w:val="32"/>
        </w:rPr>
        <w:t>19</w:t>
      </w:r>
      <w:r w:rsidRPr="00CA539D">
        <w:rPr>
          <w:rFonts w:ascii="仿宋_GB2312" w:eastAsia="仿宋_GB2312" w:hint="eastAsia"/>
          <w:sz w:val="32"/>
          <w:szCs w:val="32"/>
        </w:rPr>
        <w:t>,</w:t>
      </w:r>
      <w:r w:rsidR="001D56BD">
        <w:rPr>
          <w:rFonts w:ascii="仿宋_GB2312" w:eastAsia="仿宋_GB2312" w:hint="eastAsia"/>
          <w:sz w:val="32"/>
          <w:szCs w:val="32"/>
        </w:rPr>
        <w:t>840</w:t>
      </w:r>
      <w:r w:rsidRPr="00CA539D">
        <w:rPr>
          <w:rFonts w:ascii="仿宋_GB2312" w:eastAsia="仿宋_GB2312" w:hint="eastAsia"/>
          <w:sz w:val="32"/>
          <w:szCs w:val="32"/>
        </w:rPr>
        <w:t>万元，</w:t>
      </w:r>
      <w:r w:rsidR="00004651">
        <w:rPr>
          <w:rFonts w:ascii="仿宋_GB2312" w:eastAsia="仿宋_GB2312" w:hint="eastAsia"/>
          <w:sz w:val="32"/>
          <w:szCs w:val="32"/>
        </w:rPr>
        <w:t>同比</w:t>
      </w:r>
      <w:r w:rsidR="00CC23DD">
        <w:rPr>
          <w:rFonts w:ascii="仿宋_GB2312" w:eastAsia="仿宋_GB2312" w:hint="eastAsia"/>
          <w:sz w:val="32"/>
          <w:szCs w:val="32"/>
        </w:rPr>
        <w:t>增长</w:t>
      </w:r>
      <w:r w:rsidR="001D56BD">
        <w:rPr>
          <w:rFonts w:ascii="仿宋_GB2312" w:eastAsia="仿宋_GB2312" w:hint="eastAsia"/>
          <w:sz w:val="32"/>
          <w:szCs w:val="32"/>
        </w:rPr>
        <w:t>9.98</w:t>
      </w:r>
      <w:r w:rsidRPr="00CA539D">
        <w:rPr>
          <w:rFonts w:ascii="仿宋_GB2312" w:eastAsia="仿宋_GB2312" w:hint="eastAsia"/>
          <w:sz w:val="32"/>
          <w:szCs w:val="32"/>
        </w:rPr>
        <w:t>%；宽甸</w:t>
      </w:r>
      <w:r w:rsidR="001D56BD">
        <w:rPr>
          <w:rFonts w:ascii="仿宋_GB2312" w:eastAsia="仿宋_GB2312" w:hint="eastAsia"/>
          <w:sz w:val="32"/>
          <w:szCs w:val="32"/>
        </w:rPr>
        <w:t>13</w:t>
      </w:r>
      <w:r w:rsidRPr="00CA539D">
        <w:rPr>
          <w:rFonts w:ascii="仿宋_GB2312" w:eastAsia="仿宋_GB2312" w:hint="eastAsia"/>
          <w:sz w:val="32"/>
          <w:szCs w:val="32"/>
        </w:rPr>
        <w:t>,</w:t>
      </w:r>
      <w:r w:rsidR="001D56BD">
        <w:rPr>
          <w:rFonts w:ascii="仿宋_GB2312" w:eastAsia="仿宋_GB2312" w:hint="eastAsia"/>
          <w:sz w:val="32"/>
          <w:szCs w:val="32"/>
        </w:rPr>
        <w:t>463</w:t>
      </w:r>
      <w:r w:rsidRPr="00CA539D">
        <w:rPr>
          <w:rFonts w:ascii="仿宋_GB2312" w:eastAsia="仿宋_GB2312" w:hint="eastAsia"/>
          <w:sz w:val="32"/>
          <w:szCs w:val="32"/>
        </w:rPr>
        <w:t>万元，</w:t>
      </w:r>
      <w:r w:rsidR="00004651">
        <w:rPr>
          <w:rFonts w:ascii="仿宋_GB2312" w:eastAsia="仿宋_GB2312" w:hint="eastAsia"/>
          <w:sz w:val="32"/>
          <w:szCs w:val="32"/>
        </w:rPr>
        <w:t>同比</w:t>
      </w:r>
      <w:r w:rsidR="001D56BD">
        <w:rPr>
          <w:rFonts w:ascii="仿宋_GB2312" w:eastAsia="仿宋_GB2312" w:hint="eastAsia"/>
          <w:sz w:val="32"/>
          <w:szCs w:val="32"/>
        </w:rPr>
        <w:t>增长12.16</w:t>
      </w:r>
      <w:r w:rsidRPr="00CA539D">
        <w:rPr>
          <w:rFonts w:ascii="仿宋_GB2312" w:eastAsia="仿宋_GB2312" w:hint="eastAsia"/>
          <w:sz w:val="32"/>
          <w:szCs w:val="32"/>
        </w:rPr>
        <w:t>%。县域保费</w:t>
      </w:r>
      <w:r w:rsidR="00004651">
        <w:rPr>
          <w:rFonts w:ascii="仿宋_GB2312" w:eastAsia="仿宋_GB2312" w:hint="eastAsia"/>
          <w:sz w:val="32"/>
          <w:szCs w:val="32"/>
        </w:rPr>
        <w:t>占地区总保费规模</w:t>
      </w:r>
      <w:r w:rsidR="00706089">
        <w:rPr>
          <w:rFonts w:ascii="仿宋_GB2312" w:eastAsia="仿宋_GB2312" w:hint="eastAsia"/>
          <w:sz w:val="32"/>
          <w:szCs w:val="32"/>
        </w:rPr>
        <w:t>28.</w:t>
      </w:r>
      <w:r w:rsidR="001D56BD">
        <w:rPr>
          <w:rFonts w:ascii="仿宋_GB2312" w:eastAsia="仿宋_GB2312" w:hint="eastAsia"/>
          <w:sz w:val="32"/>
          <w:szCs w:val="32"/>
        </w:rPr>
        <w:t>96</w:t>
      </w:r>
      <w:r w:rsidRPr="00CA539D">
        <w:rPr>
          <w:rFonts w:ascii="仿宋_GB2312" w:eastAsia="仿宋_GB2312" w:hint="eastAsia"/>
          <w:sz w:val="32"/>
          <w:szCs w:val="32"/>
        </w:rPr>
        <w:t>%</w:t>
      </w:r>
      <w:r w:rsidR="00D55BB4">
        <w:rPr>
          <w:rFonts w:ascii="仿宋_GB2312" w:eastAsia="仿宋_GB2312" w:hint="eastAsia"/>
          <w:sz w:val="32"/>
          <w:szCs w:val="32"/>
        </w:rPr>
        <w:t>。</w:t>
      </w:r>
    </w:p>
    <w:p w:rsidR="00CA539D" w:rsidRPr="00CA539D" w:rsidRDefault="004312D3" w:rsidP="001D56BD">
      <w:pPr>
        <w:ind w:leftChars="1" w:left="283" w:hangingChars="134" w:hanging="281"/>
        <w:rPr>
          <w:rFonts w:ascii="仿宋_GB2312" w:eastAsia="仿宋_GB2312"/>
          <w:sz w:val="32"/>
          <w:szCs w:val="32"/>
        </w:rPr>
      </w:pPr>
      <w:r>
        <w:rPr>
          <w:noProof/>
        </w:rPr>
        <w:drawing>
          <wp:inline distT="0" distB="0" distL="0" distR="0" wp14:anchorId="4178B8C7" wp14:editId="4F5578AB">
            <wp:extent cx="6029325" cy="2847975"/>
            <wp:effectExtent l="0" t="0" r="0" b="0"/>
            <wp:docPr id="31" name="图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248E6" w:rsidRPr="00CA539D" w:rsidRDefault="00AA5F69" w:rsidP="00272880">
      <w:pPr>
        <w:ind w:firstLineChars="200" w:firstLine="640"/>
        <w:rPr>
          <w:rFonts w:ascii="黑体" w:eastAsia="黑体" w:hAnsi="宋体"/>
          <w:sz w:val="32"/>
          <w:szCs w:val="32"/>
        </w:rPr>
      </w:pPr>
      <w:r>
        <w:rPr>
          <w:rFonts w:ascii="黑体" w:eastAsia="黑体" w:hAnsi="宋体" w:hint="eastAsia"/>
          <w:sz w:val="32"/>
          <w:szCs w:val="32"/>
        </w:rPr>
        <w:lastRenderedPageBreak/>
        <w:t>二</w:t>
      </w:r>
      <w:r w:rsidR="005D6674">
        <w:rPr>
          <w:rFonts w:ascii="黑体" w:eastAsia="黑体" w:hAnsi="宋体" w:hint="eastAsia"/>
          <w:sz w:val="32"/>
          <w:szCs w:val="32"/>
        </w:rPr>
        <w:t>、</w:t>
      </w:r>
      <w:r>
        <w:rPr>
          <w:rFonts w:ascii="黑体" w:eastAsia="黑体" w:hAnsi="宋体" w:hint="eastAsia"/>
          <w:sz w:val="32"/>
          <w:szCs w:val="32"/>
        </w:rPr>
        <w:t>市场特点</w:t>
      </w:r>
    </w:p>
    <w:p w:rsidR="00D15C94" w:rsidRDefault="00CB1EFC" w:rsidP="006D70BB">
      <w:pPr>
        <w:ind w:firstLineChars="200" w:firstLine="640"/>
        <w:jc w:val="left"/>
        <w:rPr>
          <w:rFonts w:ascii="仿宋" w:eastAsia="仿宋" w:hAnsi="仿宋" w:cstheme="minorBidi"/>
          <w:color w:val="000000" w:themeColor="text1"/>
          <w:kern w:val="24"/>
          <w:sz w:val="32"/>
          <w:szCs w:val="32"/>
        </w:rPr>
      </w:pPr>
      <w:r>
        <w:rPr>
          <w:rFonts w:ascii="仿宋" w:eastAsia="仿宋" w:hAnsi="仿宋" w:cstheme="minorBidi" w:hint="eastAsia"/>
          <w:color w:val="000000" w:themeColor="text1"/>
          <w:kern w:val="24"/>
          <w:sz w:val="32"/>
          <w:szCs w:val="32"/>
        </w:rPr>
        <w:t>为贯彻执行</w:t>
      </w:r>
      <w:r w:rsidRPr="00CB1EFC">
        <w:rPr>
          <w:rStyle w:val="a9"/>
          <w:rFonts w:ascii="仿宋" w:eastAsia="仿宋" w:hAnsi="仿宋" w:hint="eastAsia"/>
          <w:b w:val="0"/>
          <w:sz w:val="32"/>
          <w:szCs w:val="32"/>
        </w:rPr>
        <w:t>辽宁银保监局《关于进一步做好新型冠状病毒感染的肺炎疫情防控工作的通知》，丹东市银保监分局和丹东保险行业协会第一时间发布《丹东保险行业积极应对新型冠状病毒肺炎疫情的倡议书》，</w:t>
      </w:r>
      <w:r w:rsidR="00004651" w:rsidRPr="00CB1EFC">
        <w:rPr>
          <w:rFonts w:ascii="仿宋" w:eastAsia="仿宋" w:hAnsi="仿宋" w:cstheme="minorBidi" w:hint="eastAsia"/>
          <w:color w:val="000000" w:themeColor="text1"/>
          <w:kern w:val="24"/>
          <w:sz w:val="32"/>
          <w:szCs w:val="32"/>
        </w:rPr>
        <w:t>我市人身</w:t>
      </w:r>
      <w:r w:rsidR="002827DA" w:rsidRPr="00CB1EFC">
        <w:rPr>
          <w:rFonts w:ascii="仿宋" w:eastAsia="仿宋" w:hAnsi="仿宋" w:cstheme="minorBidi" w:hint="eastAsia"/>
          <w:color w:val="000000" w:themeColor="text1"/>
          <w:kern w:val="24"/>
          <w:sz w:val="32"/>
          <w:szCs w:val="32"/>
        </w:rPr>
        <w:t>险公司积极出台应</w:t>
      </w:r>
      <w:r w:rsidR="002827DA" w:rsidRPr="002827DA">
        <w:rPr>
          <w:rFonts w:ascii="仿宋" w:eastAsia="仿宋" w:hAnsi="仿宋" w:cstheme="minorBidi" w:hint="eastAsia"/>
          <w:color w:val="000000" w:themeColor="text1"/>
          <w:kern w:val="24"/>
          <w:sz w:val="32"/>
          <w:szCs w:val="32"/>
        </w:rPr>
        <w:t>对</w:t>
      </w:r>
      <w:r w:rsidR="00E5271E">
        <w:rPr>
          <w:rFonts w:ascii="仿宋" w:eastAsia="仿宋" w:hAnsi="仿宋" w:cstheme="minorBidi" w:hint="eastAsia"/>
          <w:color w:val="000000" w:themeColor="text1"/>
          <w:kern w:val="24"/>
          <w:sz w:val="32"/>
          <w:szCs w:val="32"/>
        </w:rPr>
        <w:t>措施</w:t>
      </w:r>
      <w:r w:rsidR="002827DA" w:rsidRPr="002827DA">
        <w:rPr>
          <w:rFonts w:ascii="仿宋" w:eastAsia="仿宋" w:hAnsi="仿宋" w:cstheme="minorBidi" w:hint="eastAsia"/>
          <w:color w:val="000000" w:themeColor="text1"/>
          <w:kern w:val="24"/>
          <w:sz w:val="32"/>
          <w:szCs w:val="32"/>
        </w:rPr>
        <w:t>，</w:t>
      </w:r>
      <w:r w:rsidR="00FE2169" w:rsidRPr="00A50118">
        <w:rPr>
          <w:rFonts w:ascii="仿宋_GB2312" w:eastAsia="仿宋_GB2312" w:hAnsi="微软雅黑" w:hint="eastAsia"/>
          <w:spacing w:val="8"/>
          <w:sz w:val="32"/>
          <w:szCs w:val="32"/>
          <w:shd w:val="clear" w:color="auto" w:fill="FFFFFF"/>
        </w:rPr>
        <w:t>通过实际行动有力地支持了我市疫情防控和企业复工复产工作</w:t>
      </w:r>
      <w:r w:rsidR="00FE2169">
        <w:rPr>
          <w:rFonts w:ascii="仿宋_GB2312" w:eastAsia="仿宋_GB2312" w:hAnsi="微软雅黑" w:hint="eastAsia"/>
          <w:spacing w:val="8"/>
          <w:sz w:val="32"/>
          <w:szCs w:val="32"/>
          <w:shd w:val="clear" w:color="auto" w:fill="FFFFFF"/>
        </w:rPr>
        <w:t>。一是开通绿色通道、提升理赔服务能力。</w:t>
      </w:r>
      <w:r w:rsidR="006D70BB">
        <w:rPr>
          <w:rFonts w:ascii="仿宋_GB2312" w:eastAsia="仿宋_GB2312" w:hAnsi="微软雅黑" w:hint="eastAsia"/>
          <w:spacing w:val="8"/>
          <w:sz w:val="32"/>
          <w:szCs w:val="32"/>
          <w:shd w:val="clear" w:color="auto" w:fill="FFFFFF"/>
        </w:rPr>
        <w:t>全市26家人身</w:t>
      </w:r>
      <w:proofErr w:type="gramStart"/>
      <w:r w:rsidR="006D70BB">
        <w:rPr>
          <w:rFonts w:ascii="仿宋_GB2312" w:eastAsia="仿宋_GB2312" w:hAnsi="微软雅黑" w:hint="eastAsia"/>
          <w:spacing w:val="8"/>
          <w:sz w:val="32"/>
          <w:szCs w:val="32"/>
          <w:shd w:val="clear" w:color="auto" w:fill="FFFFFF"/>
        </w:rPr>
        <w:t>险机构均启动</w:t>
      </w:r>
      <w:proofErr w:type="gramEnd"/>
      <w:r w:rsidR="006D70BB">
        <w:rPr>
          <w:rFonts w:ascii="仿宋_GB2312" w:eastAsia="仿宋_GB2312" w:hAnsi="微软雅黑" w:hint="eastAsia"/>
          <w:spacing w:val="8"/>
          <w:sz w:val="32"/>
          <w:szCs w:val="32"/>
          <w:shd w:val="clear" w:color="auto" w:fill="FFFFFF"/>
        </w:rPr>
        <w:t>应急预案，</w:t>
      </w:r>
      <w:r w:rsidR="006D70BB" w:rsidRPr="0054786C">
        <w:rPr>
          <w:rFonts w:ascii="仿宋_GB2312" w:eastAsia="仿宋_GB2312" w:hint="eastAsia"/>
          <w:sz w:val="32"/>
          <w:szCs w:val="32"/>
        </w:rPr>
        <w:t>开</w:t>
      </w:r>
      <w:r w:rsidR="006D70BB">
        <w:rPr>
          <w:rFonts w:ascii="仿宋_GB2312" w:eastAsia="仿宋_GB2312" w:hint="eastAsia"/>
          <w:sz w:val="32"/>
          <w:szCs w:val="32"/>
        </w:rPr>
        <w:t>通</w:t>
      </w:r>
      <w:r w:rsidR="006D70BB" w:rsidRPr="0054786C">
        <w:rPr>
          <w:rFonts w:ascii="仿宋_GB2312" w:eastAsia="仿宋_GB2312" w:hint="eastAsia"/>
          <w:sz w:val="32"/>
          <w:szCs w:val="32"/>
        </w:rPr>
        <w:t>理赔绿色通道，开通7×24小时客户</w:t>
      </w:r>
      <w:r w:rsidR="006D70BB">
        <w:rPr>
          <w:rFonts w:ascii="仿宋_GB2312" w:eastAsia="仿宋_GB2312" w:hint="eastAsia"/>
          <w:sz w:val="32"/>
          <w:szCs w:val="32"/>
        </w:rPr>
        <w:t>服务</w:t>
      </w:r>
      <w:r w:rsidR="006D70BB" w:rsidRPr="0054786C">
        <w:rPr>
          <w:rFonts w:ascii="仿宋_GB2312" w:eastAsia="仿宋_GB2312" w:hint="eastAsia"/>
          <w:sz w:val="32"/>
          <w:szCs w:val="32"/>
        </w:rPr>
        <w:t>热线，</w:t>
      </w:r>
      <w:r w:rsidR="006D70BB" w:rsidRPr="00285EB1">
        <w:rPr>
          <w:rFonts w:ascii="仿宋_GB2312" w:eastAsia="仿宋_GB2312" w:hint="eastAsia"/>
          <w:sz w:val="32"/>
          <w:szCs w:val="32"/>
        </w:rPr>
        <w:t>通过电话、官微、官网、客服柜面、保单服务人员等多渠道为客户提供报案受理、理赔咨询、报案资料指导、理赔流程指引和医疗救援等服务</w:t>
      </w:r>
      <w:r w:rsidR="006D70BB">
        <w:rPr>
          <w:rFonts w:ascii="仿宋_GB2312" w:eastAsia="仿宋_GB2312" w:hint="eastAsia"/>
          <w:sz w:val="32"/>
          <w:szCs w:val="32"/>
        </w:rPr>
        <w:t>；二是</w:t>
      </w:r>
      <w:proofErr w:type="gramStart"/>
      <w:r w:rsidR="006D70BB">
        <w:rPr>
          <w:rFonts w:ascii="仿宋_GB2312" w:eastAsia="仿宋_GB2312" w:hint="eastAsia"/>
          <w:sz w:val="32"/>
          <w:szCs w:val="32"/>
        </w:rPr>
        <w:t>推广线</w:t>
      </w:r>
      <w:proofErr w:type="gramEnd"/>
      <w:r w:rsidR="006D70BB">
        <w:rPr>
          <w:rFonts w:ascii="仿宋_GB2312" w:eastAsia="仿宋_GB2312" w:hint="eastAsia"/>
          <w:sz w:val="32"/>
          <w:szCs w:val="32"/>
        </w:rPr>
        <w:t>上投保，保障服务顺畅。</w:t>
      </w:r>
      <w:r w:rsidR="006D70BB" w:rsidRPr="006D70BB">
        <w:rPr>
          <w:rFonts w:ascii="仿宋_GB2312" w:eastAsia="仿宋_GB2312" w:hAnsiTheme="minorHAnsi" w:cstheme="minorBidi" w:hint="eastAsia"/>
          <w:sz w:val="32"/>
          <w:szCs w:val="32"/>
        </w:rPr>
        <w:t>各</w:t>
      </w:r>
      <w:r w:rsidR="006D70BB">
        <w:rPr>
          <w:rFonts w:ascii="仿宋_GB2312" w:eastAsia="仿宋_GB2312" w:hAnsiTheme="minorHAnsi" w:cstheme="minorBidi" w:hint="eastAsia"/>
          <w:sz w:val="32"/>
          <w:szCs w:val="32"/>
        </w:rPr>
        <w:t>人身</w:t>
      </w:r>
      <w:proofErr w:type="gramStart"/>
      <w:r w:rsidR="006D70BB">
        <w:rPr>
          <w:rFonts w:ascii="仿宋_GB2312" w:eastAsia="仿宋_GB2312" w:hAnsiTheme="minorHAnsi" w:cstheme="minorBidi" w:hint="eastAsia"/>
          <w:sz w:val="32"/>
          <w:szCs w:val="32"/>
        </w:rPr>
        <w:t>险机构</w:t>
      </w:r>
      <w:proofErr w:type="gramEnd"/>
      <w:r w:rsidR="006D70BB" w:rsidRPr="006D70BB">
        <w:rPr>
          <w:rFonts w:ascii="仿宋_GB2312" w:eastAsia="仿宋_GB2312" w:hAnsiTheme="minorHAnsi" w:cstheme="minorBidi" w:hint="eastAsia"/>
          <w:sz w:val="32"/>
          <w:szCs w:val="32"/>
        </w:rPr>
        <w:t>纷纷强化科技运用，坚持线上与线下服务相结合,全力</w:t>
      </w:r>
      <w:proofErr w:type="gramStart"/>
      <w:r w:rsidR="006D70BB" w:rsidRPr="006D70BB">
        <w:rPr>
          <w:rFonts w:ascii="仿宋_GB2312" w:eastAsia="仿宋_GB2312" w:hAnsiTheme="minorHAnsi" w:cstheme="minorBidi" w:hint="eastAsia"/>
          <w:sz w:val="32"/>
          <w:szCs w:val="32"/>
        </w:rPr>
        <w:t>普及线</w:t>
      </w:r>
      <w:proofErr w:type="gramEnd"/>
      <w:r w:rsidR="006D70BB" w:rsidRPr="006D70BB">
        <w:rPr>
          <w:rFonts w:ascii="仿宋_GB2312" w:eastAsia="仿宋_GB2312" w:hAnsiTheme="minorHAnsi" w:cstheme="minorBidi" w:hint="eastAsia"/>
          <w:sz w:val="32"/>
          <w:szCs w:val="32"/>
        </w:rPr>
        <w:t>上服务模式，推出手机端APP、</w:t>
      </w:r>
      <w:proofErr w:type="gramStart"/>
      <w:r w:rsidR="006D70BB" w:rsidRPr="006D70BB">
        <w:rPr>
          <w:rFonts w:ascii="仿宋_GB2312" w:eastAsia="仿宋_GB2312" w:hAnsiTheme="minorHAnsi" w:cstheme="minorBidi" w:hint="eastAsia"/>
          <w:sz w:val="32"/>
          <w:szCs w:val="32"/>
        </w:rPr>
        <w:t>微信公众号</w:t>
      </w:r>
      <w:proofErr w:type="gramEnd"/>
      <w:r w:rsidR="006D70BB" w:rsidRPr="006D70BB">
        <w:rPr>
          <w:rFonts w:ascii="仿宋_GB2312" w:eastAsia="仿宋_GB2312" w:hAnsiTheme="minorHAnsi" w:cstheme="minorBidi" w:hint="eastAsia"/>
          <w:sz w:val="32"/>
          <w:szCs w:val="32"/>
        </w:rPr>
        <w:t>、视频连接、远程认证等“免临柜”线上智能服务，</w:t>
      </w:r>
      <w:r w:rsidR="006D70BB" w:rsidRPr="006D70BB">
        <w:rPr>
          <w:rFonts w:ascii="仿宋_GB2312" w:eastAsia="仿宋_GB2312" w:hAnsi="??_GB2312" w:cs="宋体" w:hint="eastAsia"/>
          <w:kern w:val="0"/>
          <w:sz w:val="32"/>
          <w:szCs w:val="32"/>
          <w:lang w:val="zh-CN"/>
        </w:rPr>
        <w:t>实现无接触，零距离的线上服务，针对疫情发展和客户需要加强服务创新、加大服务供给</w:t>
      </w:r>
      <w:r w:rsidR="006D70BB" w:rsidRPr="006D70BB">
        <w:rPr>
          <w:rFonts w:ascii="仿宋_GB2312" w:eastAsia="仿宋_GB2312" w:hAnsiTheme="minorHAnsi" w:cstheme="minorBidi" w:hint="eastAsia"/>
          <w:sz w:val="32"/>
          <w:szCs w:val="32"/>
        </w:rPr>
        <w:t>，在确保客户体验高效、便捷的同时，全面助力疫情防控</w:t>
      </w:r>
      <w:r w:rsidR="007614C9">
        <w:rPr>
          <w:rFonts w:ascii="仿宋_GB2312" w:eastAsia="仿宋_GB2312" w:hAnsiTheme="minorHAnsi" w:cstheme="minorBidi" w:hint="eastAsia"/>
          <w:sz w:val="32"/>
          <w:szCs w:val="32"/>
        </w:rPr>
        <w:t>；</w:t>
      </w:r>
      <w:r w:rsidR="006D70BB">
        <w:rPr>
          <w:rFonts w:ascii="仿宋_GB2312" w:eastAsia="仿宋_GB2312" w:hAnsiTheme="minorHAnsi" w:cstheme="minorBidi" w:hint="eastAsia"/>
          <w:sz w:val="32"/>
          <w:szCs w:val="32"/>
        </w:rPr>
        <w:t>三是担当</w:t>
      </w:r>
      <w:proofErr w:type="gramStart"/>
      <w:r w:rsidR="006D70BB">
        <w:rPr>
          <w:rFonts w:ascii="仿宋_GB2312" w:eastAsia="仿宋_GB2312" w:hAnsiTheme="minorHAnsi" w:cstheme="minorBidi" w:hint="eastAsia"/>
          <w:sz w:val="32"/>
          <w:szCs w:val="32"/>
        </w:rPr>
        <w:t>做为</w:t>
      </w:r>
      <w:proofErr w:type="gramEnd"/>
      <w:r w:rsidR="006D70BB">
        <w:rPr>
          <w:rFonts w:ascii="仿宋_GB2312" w:eastAsia="仿宋_GB2312" w:hAnsiTheme="minorHAnsi" w:cstheme="minorBidi" w:hint="eastAsia"/>
          <w:sz w:val="32"/>
          <w:szCs w:val="32"/>
        </w:rPr>
        <w:t>，积极履行社会责任。</w:t>
      </w:r>
      <w:r w:rsidR="006D70BB" w:rsidRPr="002827DA">
        <w:rPr>
          <w:rFonts w:ascii="仿宋" w:eastAsia="仿宋" w:hAnsi="仿宋" w:cstheme="minorBidi" w:hint="eastAsia"/>
          <w:color w:val="000000" w:themeColor="text1"/>
          <w:kern w:val="24"/>
          <w:sz w:val="32"/>
          <w:szCs w:val="32"/>
        </w:rPr>
        <w:t>疫情爆发以来，</w:t>
      </w:r>
      <w:r w:rsidR="006D70BB">
        <w:rPr>
          <w:rFonts w:ascii="仿宋_GB2312" w:eastAsia="仿宋_GB2312" w:hAnsiTheme="minorHAnsi" w:cstheme="minorBidi" w:hint="eastAsia"/>
          <w:sz w:val="32"/>
          <w:szCs w:val="32"/>
        </w:rPr>
        <w:t>我市多家人身</w:t>
      </w:r>
      <w:proofErr w:type="gramStart"/>
      <w:r w:rsidR="006D70BB">
        <w:rPr>
          <w:rFonts w:ascii="仿宋_GB2312" w:eastAsia="仿宋_GB2312" w:hAnsiTheme="minorHAnsi" w:cstheme="minorBidi" w:hint="eastAsia"/>
          <w:sz w:val="32"/>
          <w:szCs w:val="32"/>
        </w:rPr>
        <w:t>险机构</w:t>
      </w:r>
      <w:proofErr w:type="gramEnd"/>
      <w:r w:rsidR="002827DA" w:rsidRPr="002827DA">
        <w:rPr>
          <w:rFonts w:ascii="仿宋" w:eastAsia="仿宋" w:hAnsi="仿宋" w:cstheme="minorBidi" w:hint="eastAsia"/>
          <w:color w:val="000000" w:themeColor="text1"/>
          <w:kern w:val="24"/>
          <w:sz w:val="32"/>
          <w:szCs w:val="32"/>
        </w:rPr>
        <w:t>组织内外勤员工捐款、捐物，慰问</w:t>
      </w:r>
      <w:r w:rsidR="00A76A55">
        <w:rPr>
          <w:rFonts w:ascii="仿宋" w:eastAsia="仿宋" w:hAnsi="仿宋" w:cstheme="minorBidi" w:hint="eastAsia"/>
          <w:color w:val="000000" w:themeColor="text1"/>
          <w:kern w:val="24"/>
          <w:sz w:val="32"/>
          <w:szCs w:val="32"/>
        </w:rPr>
        <w:t>奋战</w:t>
      </w:r>
      <w:r w:rsidR="002827DA" w:rsidRPr="002827DA">
        <w:rPr>
          <w:rFonts w:ascii="仿宋" w:eastAsia="仿宋" w:hAnsi="仿宋" w:cstheme="minorBidi" w:hint="eastAsia"/>
          <w:color w:val="000000" w:themeColor="text1"/>
          <w:kern w:val="24"/>
          <w:sz w:val="32"/>
          <w:szCs w:val="32"/>
        </w:rPr>
        <w:t>在抗</w:t>
      </w:r>
      <w:proofErr w:type="gramStart"/>
      <w:r w:rsidR="002827DA" w:rsidRPr="002827DA">
        <w:rPr>
          <w:rFonts w:ascii="仿宋" w:eastAsia="仿宋" w:hAnsi="仿宋" w:cstheme="minorBidi" w:hint="eastAsia"/>
          <w:color w:val="000000" w:themeColor="text1"/>
          <w:kern w:val="24"/>
          <w:sz w:val="32"/>
          <w:szCs w:val="32"/>
        </w:rPr>
        <w:t>疫</w:t>
      </w:r>
      <w:proofErr w:type="gramEnd"/>
      <w:r w:rsidR="002827DA" w:rsidRPr="002827DA">
        <w:rPr>
          <w:rFonts w:ascii="仿宋" w:eastAsia="仿宋" w:hAnsi="仿宋" w:cstheme="minorBidi" w:hint="eastAsia"/>
          <w:color w:val="000000" w:themeColor="text1"/>
          <w:kern w:val="24"/>
          <w:sz w:val="32"/>
          <w:szCs w:val="32"/>
        </w:rPr>
        <w:t>一线的社区</w:t>
      </w:r>
      <w:r w:rsidR="00A76A55">
        <w:rPr>
          <w:rFonts w:ascii="仿宋" w:eastAsia="仿宋" w:hAnsi="仿宋" w:cstheme="minorBidi" w:hint="eastAsia"/>
          <w:color w:val="000000" w:themeColor="text1"/>
          <w:kern w:val="24"/>
          <w:sz w:val="32"/>
          <w:szCs w:val="32"/>
        </w:rPr>
        <w:t>工作人员</w:t>
      </w:r>
      <w:r w:rsidR="002827DA" w:rsidRPr="002827DA">
        <w:rPr>
          <w:rFonts w:ascii="仿宋" w:eastAsia="仿宋" w:hAnsi="仿宋" w:cstheme="minorBidi" w:hint="eastAsia"/>
          <w:color w:val="000000" w:themeColor="text1"/>
          <w:kern w:val="24"/>
          <w:sz w:val="32"/>
          <w:szCs w:val="32"/>
        </w:rPr>
        <w:t>及医务工作者，在社会上赢得了良好的口碑，充分体现了保险业所承担的社会责任。</w:t>
      </w:r>
    </w:p>
    <w:p w:rsidR="008254E2" w:rsidRDefault="001D56BD" w:rsidP="006D70BB">
      <w:pPr>
        <w:ind w:firstLineChars="200" w:firstLine="640"/>
        <w:jc w:val="left"/>
        <w:rPr>
          <w:rFonts w:ascii="仿宋" w:eastAsia="仿宋" w:hAnsi="仿宋" w:cstheme="minorBidi"/>
          <w:color w:val="000000" w:themeColor="text1"/>
          <w:kern w:val="24"/>
          <w:sz w:val="32"/>
          <w:szCs w:val="32"/>
        </w:rPr>
      </w:pPr>
      <w:r>
        <w:rPr>
          <w:rFonts w:ascii="仿宋" w:eastAsia="仿宋" w:hAnsi="仿宋" w:cstheme="minorBidi" w:hint="eastAsia"/>
          <w:color w:val="000000" w:themeColor="text1"/>
          <w:kern w:val="24"/>
          <w:sz w:val="32"/>
          <w:szCs w:val="32"/>
        </w:rPr>
        <w:t>1-3季度</w:t>
      </w:r>
      <w:r w:rsidR="00647A78">
        <w:rPr>
          <w:rFonts w:ascii="仿宋" w:eastAsia="仿宋" w:hAnsi="仿宋" w:cstheme="minorBidi" w:hint="eastAsia"/>
          <w:color w:val="000000" w:themeColor="text1"/>
          <w:kern w:val="24"/>
          <w:sz w:val="32"/>
          <w:szCs w:val="32"/>
        </w:rPr>
        <w:t>，</w:t>
      </w:r>
      <w:r w:rsidR="00D15C94">
        <w:rPr>
          <w:rFonts w:ascii="仿宋" w:eastAsia="仿宋" w:hAnsi="仿宋" w:cstheme="minorBidi" w:hint="eastAsia"/>
          <w:color w:val="000000" w:themeColor="text1"/>
          <w:kern w:val="24"/>
          <w:sz w:val="32"/>
          <w:szCs w:val="32"/>
        </w:rPr>
        <w:t>我市人身</w:t>
      </w:r>
      <w:proofErr w:type="gramStart"/>
      <w:r w:rsidR="00D15C94">
        <w:rPr>
          <w:rFonts w:ascii="仿宋" w:eastAsia="仿宋" w:hAnsi="仿宋" w:cstheme="minorBidi" w:hint="eastAsia"/>
          <w:color w:val="000000" w:themeColor="text1"/>
          <w:kern w:val="24"/>
          <w:sz w:val="32"/>
          <w:szCs w:val="32"/>
        </w:rPr>
        <w:t>险机构</w:t>
      </w:r>
      <w:proofErr w:type="gramEnd"/>
      <w:r w:rsidR="00D15C94">
        <w:rPr>
          <w:rFonts w:ascii="仿宋" w:eastAsia="仿宋" w:hAnsi="仿宋" w:cstheme="minorBidi" w:hint="eastAsia"/>
          <w:color w:val="000000" w:themeColor="text1"/>
          <w:kern w:val="24"/>
          <w:sz w:val="32"/>
          <w:szCs w:val="32"/>
        </w:rPr>
        <w:t>在有效抗击疫情的</w:t>
      </w:r>
      <w:r w:rsidR="008254E2">
        <w:rPr>
          <w:rFonts w:ascii="仿宋" w:eastAsia="仿宋" w:hAnsi="仿宋" w:cstheme="minorBidi" w:hint="eastAsia"/>
          <w:color w:val="000000" w:themeColor="text1"/>
          <w:kern w:val="24"/>
          <w:sz w:val="32"/>
          <w:szCs w:val="32"/>
        </w:rPr>
        <w:t>同时</w:t>
      </w:r>
      <w:r w:rsidR="00D15C94">
        <w:rPr>
          <w:rFonts w:ascii="仿宋" w:eastAsia="仿宋" w:hAnsi="仿宋" w:cstheme="minorBidi" w:hint="eastAsia"/>
          <w:color w:val="000000" w:themeColor="text1"/>
          <w:kern w:val="24"/>
          <w:sz w:val="32"/>
          <w:szCs w:val="32"/>
        </w:rPr>
        <w:t>，业</w:t>
      </w:r>
      <w:r w:rsidR="00D15C94">
        <w:rPr>
          <w:rFonts w:ascii="仿宋" w:eastAsia="仿宋" w:hAnsi="仿宋" w:cstheme="minorBidi" w:hint="eastAsia"/>
          <w:color w:val="000000" w:themeColor="text1"/>
          <w:kern w:val="24"/>
          <w:sz w:val="32"/>
          <w:szCs w:val="32"/>
        </w:rPr>
        <w:lastRenderedPageBreak/>
        <w:t>务发展也</w:t>
      </w:r>
      <w:r w:rsidR="008254E2">
        <w:rPr>
          <w:rFonts w:ascii="仿宋" w:eastAsia="仿宋" w:hAnsi="仿宋" w:cstheme="minorBidi" w:hint="eastAsia"/>
          <w:color w:val="000000" w:themeColor="text1"/>
          <w:kern w:val="24"/>
          <w:sz w:val="32"/>
          <w:szCs w:val="32"/>
        </w:rPr>
        <w:t>呈现出</w:t>
      </w:r>
      <w:r w:rsidR="00D15C94">
        <w:rPr>
          <w:rFonts w:ascii="仿宋" w:eastAsia="仿宋" w:hAnsi="仿宋" w:cstheme="minorBidi" w:hint="eastAsia"/>
          <w:color w:val="000000" w:themeColor="text1"/>
          <w:kern w:val="24"/>
          <w:sz w:val="32"/>
          <w:szCs w:val="32"/>
        </w:rPr>
        <w:t>积极向好的</w:t>
      </w:r>
      <w:r w:rsidR="008254E2">
        <w:rPr>
          <w:rFonts w:ascii="仿宋" w:eastAsia="仿宋" w:hAnsi="仿宋" w:cstheme="minorBidi" w:hint="eastAsia"/>
          <w:color w:val="000000" w:themeColor="text1"/>
          <w:kern w:val="24"/>
          <w:sz w:val="32"/>
          <w:szCs w:val="32"/>
        </w:rPr>
        <w:t>趋势</w:t>
      </w:r>
      <w:r w:rsidR="00D15C94">
        <w:rPr>
          <w:rFonts w:ascii="仿宋" w:eastAsia="仿宋" w:hAnsi="仿宋" w:cstheme="minorBidi" w:hint="eastAsia"/>
          <w:color w:val="000000" w:themeColor="text1"/>
          <w:kern w:val="24"/>
          <w:sz w:val="32"/>
          <w:szCs w:val="32"/>
        </w:rPr>
        <w:t>，具体呈现以下三个特点</w:t>
      </w:r>
      <w:r w:rsidR="008254E2">
        <w:rPr>
          <w:rFonts w:ascii="仿宋" w:eastAsia="仿宋" w:hAnsi="仿宋" w:cstheme="minorBidi" w:hint="eastAsia"/>
          <w:color w:val="000000" w:themeColor="text1"/>
          <w:kern w:val="24"/>
          <w:sz w:val="32"/>
          <w:szCs w:val="32"/>
        </w:rPr>
        <w:t>：</w:t>
      </w:r>
    </w:p>
    <w:p w:rsidR="005907E2" w:rsidRPr="005907E2" w:rsidRDefault="008254E2" w:rsidP="005907E2">
      <w:pPr>
        <w:pStyle w:val="a6"/>
        <w:spacing w:before="0" w:beforeAutospacing="0" w:after="0" w:afterAutospacing="0"/>
        <w:ind w:firstLineChars="100" w:firstLine="321"/>
        <w:rPr>
          <w:rFonts w:ascii="楷体" w:eastAsia="楷体" w:hAnsi="楷体" w:cstheme="minorBidi"/>
          <w:b/>
          <w:color w:val="000000" w:themeColor="text1"/>
          <w:kern w:val="24"/>
          <w:sz w:val="32"/>
          <w:szCs w:val="32"/>
        </w:rPr>
      </w:pPr>
      <w:r w:rsidRPr="005907E2">
        <w:rPr>
          <w:rFonts w:ascii="楷体" w:eastAsia="楷体" w:hAnsi="楷体" w:cstheme="minorBidi" w:hint="eastAsia"/>
          <w:b/>
          <w:color w:val="000000" w:themeColor="text1"/>
          <w:kern w:val="24"/>
          <w:sz w:val="32"/>
          <w:szCs w:val="32"/>
        </w:rPr>
        <w:t>（一）复工复产有效推进。</w:t>
      </w:r>
    </w:p>
    <w:p w:rsidR="008A7383" w:rsidRDefault="008A7383" w:rsidP="005907E2">
      <w:pPr>
        <w:pStyle w:val="a6"/>
        <w:spacing w:before="0" w:beforeAutospacing="0" w:after="0" w:afterAutospacing="0"/>
        <w:ind w:firstLineChars="200" w:firstLine="640"/>
        <w:rPr>
          <w:rFonts w:ascii="仿宋" w:eastAsia="仿宋" w:hAnsi="仿宋" w:cstheme="minorBidi"/>
          <w:color w:val="000000" w:themeColor="text1"/>
          <w:kern w:val="24"/>
          <w:sz w:val="32"/>
          <w:szCs w:val="32"/>
        </w:rPr>
      </w:pPr>
      <w:r>
        <w:rPr>
          <w:rFonts w:ascii="仿宋" w:eastAsia="仿宋" w:hAnsi="仿宋" w:cstheme="minorBidi" w:hint="eastAsia"/>
          <w:color w:val="000000" w:themeColor="text1"/>
          <w:kern w:val="24"/>
          <w:sz w:val="32"/>
          <w:szCs w:val="32"/>
        </w:rPr>
        <w:t>我市人身保险</w:t>
      </w:r>
      <w:r w:rsidR="00EB13F5">
        <w:rPr>
          <w:rFonts w:ascii="仿宋" w:eastAsia="仿宋" w:hAnsi="仿宋" w:cstheme="minorBidi" w:hint="eastAsia"/>
          <w:color w:val="000000" w:themeColor="text1"/>
          <w:kern w:val="24"/>
          <w:sz w:val="32"/>
          <w:szCs w:val="32"/>
        </w:rPr>
        <w:t>业务</w:t>
      </w:r>
      <w:r>
        <w:rPr>
          <w:rFonts w:ascii="仿宋" w:eastAsia="仿宋" w:hAnsi="仿宋" w:cstheme="minorBidi" w:hint="eastAsia"/>
          <w:color w:val="000000" w:themeColor="text1"/>
          <w:kern w:val="24"/>
          <w:sz w:val="32"/>
          <w:szCs w:val="32"/>
        </w:rPr>
        <w:t>增速曲线与新冠病毒疫情防控的曲线相同，</w:t>
      </w:r>
      <w:r w:rsidR="00EB13F5">
        <w:rPr>
          <w:rFonts w:ascii="仿宋" w:eastAsia="仿宋" w:hAnsi="仿宋" w:cstheme="minorBidi" w:hint="eastAsia"/>
          <w:color w:val="000000" w:themeColor="text1"/>
          <w:kern w:val="24"/>
          <w:sz w:val="32"/>
          <w:szCs w:val="32"/>
        </w:rPr>
        <w:t>新冠疫情是1月下旬开始，到3月最严重</w:t>
      </w:r>
      <w:r w:rsidR="000B5273">
        <w:rPr>
          <w:rFonts w:ascii="仿宋" w:eastAsia="仿宋" w:hAnsi="仿宋" w:cstheme="minorBidi" w:hint="eastAsia"/>
          <w:color w:val="000000" w:themeColor="text1"/>
          <w:kern w:val="24"/>
          <w:sz w:val="32"/>
          <w:szCs w:val="32"/>
        </w:rPr>
        <w:t>，</w:t>
      </w:r>
      <w:r w:rsidR="00EB13F5">
        <w:rPr>
          <w:rFonts w:ascii="仿宋" w:eastAsia="仿宋" w:hAnsi="仿宋" w:cstheme="minorBidi" w:hint="eastAsia"/>
          <w:color w:val="000000" w:themeColor="text1"/>
          <w:kern w:val="24"/>
          <w:sz w:val="32"/>
          <w:szCs w:val="32"/>
        </w:rPr>
        <w:t>我市人身保险业务增速逐步下降</w:t>
      </w:r>
      <w:r w:rsidR="007873DD">
        <w:rPr>
          <w:rFonts w:ascii="仿宋" w:eastAsia="仿宋" w:hAnsi="仿宋" w:cstheme="minorBidi" w:hint="eastAsia"/>
          <w:color w:val="000000" w:themeColor="text1"/>
          <w:kern w:val="24"/>
          <w:sz w:val="32"/>
          <w:szCs w:val="32"/>
        </w:rPr>
        <w:t>，</w:t>
      </w:r>
      <w:r w:rsidR="00EB13F5">
        <w:rPr>
          <w:rFonts w:ascii="仿宋" w:eastAsia="仿宋" w:hAnsi="仿宋" w:cstheme="minorBidi" w:hint="eastAsia"/>
          <w:color w:val="000000" w:themeColor="text1"/>
          <w:kern w:val="24"/>
          <w:sz w:val="32"/>
          <w:szCs w:val="32"/>
        </w:rPr>
        <w:t>3月下降</w:t>
      </w:r>
      <w:r w:rsidR="00647A78">
        <w:rPr>
          <w:rFonts w:ascii="仿宋" w:eastAsia="仿宋" w:hAnsi="仿宋" w:cstheme="minorBidi" w:hint="eastAsia"/>
          <w:color w:val="000000" w:themeColor="text1"/>
          <w:kern w:val="24"/>
          <w:sz w:val="32"/>
          <w:szCs w:val="32"/>
        </w:rPr>
        <w:t>至-</w:t>
      </w:r>
      <w:r w:rsidR="00EB13F5">
        <w:rPr>
          <w:rFonts w:ascii="仿宋" w:eastAsia="仿宋" w:hAnsi="仿宋" w:cstheme="minorBidi" w:hint="eastAsia"/>
          <w:color w:val="000000" w:themeColor="text1"/>
          <w:kern w:val="24"/>
          <w:sz w:val="32"/>
          <w:szCs w:val="32"/>
        </w:rPr>
        <w:t>3.59</w:t>
      </w:r>
      <w:r w:rsidR="007873DD">
        <w:rPr>
          <w:rFonts w:ascii="仿宋" w:eastAsia="仿宋" w:hAnsi="仿宋" w:cstheme="minorBidi" w:hint="eastAsia"/>
          <w:color w:val="000000" w:themeColor="text1"/>
          <w:kern w:val="24"/>
          <w:sz w:val="32"/>
          <w:szCs w:val="32"/>
        </w:rPr>
        <w:t>%</w:t>
      </w:r>
      <w:r w:rsidR="00EB13F5">
        <w:rPr>
          <w:rFonts w:ascii="仿宋" w:eastAsia="仿宋" w:hAnsi="仿宋" w:cstheme="minorBidi" w:hint="eastAsia"/>
          <w:color w:val="000000" w:themeColor="text1"/>
          <w:kern w:val="24"/>
          <w:sz w:val="32"/>
          <w:szCs w:val="32"/>
        </w:rPr>
        <w:t>，4月开始随着疫情得到有效控制，我市人身险业务增速降幅也逐月缩窄，到5月实现正增长，6月增速达4.13%</w:t>
      </w:r>
      <w:r w:rsidR="000945ED">
        <w:rPr>
          <w:rFonts w:ascii="仿宋" w:eastAsia="仿宋" w:hAnsi="仿宋" w:cstheme="minorBidi" w:hint="eastAsia"/>
          <w:color w:val="000000" w:themeColor="text1"/>
          <w:kern w:val="24"/>
          <w:sz w:val="32"/>
          <w:szCs w:val="32"/>
        </w:rPr>
        <w:t>，</w:t>
      </w:r>
      <w:r w:rsidR="004D2990">
        <w:rPr>
          <w:rFonts w:ascii="仿宋" w:eastAsia="仿宋" w:hAnsi="仿宋" w:cstheme="minorBidi" w:hint="eastAsia"/>
          <w:color w:val="000000" w:themeColor="text1"/>
          <w:kern w:val="24"/>
          <w:sz w:val="32"/>
          <w:szCs w:val="32"/>
        </w:rPr>
        <w:t>9月增速3.5%</w:t>
      </w:r>
      <w:r w:rsidR="000945ED">
        <w:rPr>
          <w:rFonts w:ascii="仿宋" w:eastAsia="仿宋" w:hAnsi="仿宋" w:cstheme="minorBidi" w:hint="eastAsia"/>
          <w:color w:val="000000" w:themeColor="text1"/>
          <w:kern w:val="24"/>
          <w:sz w:val="32"/>
          <w:szCs w:val="32"/>
        </w:rPr>
        <w:t>表明我市人身保险业复工复产取得了积极成效</w:t>
      </w:r>
      <w:r w:rsidR="00EB13F5">
        <w:rPr>
          <w:rFonts w:ascii="仿宋" w:eastAsia="仿宋" w:hAnsi="仿宋" w:cstheme="minorBidi" w:hint="eastAsia"/>
          <w:color w:val="000000" w:themeColor="text1"/>
          <w:kern w:val="24"/>
          <w:sz w:val="32"/>
          <w:szCs w:val="32"/>
        </w:rPr>
        <w:t>。</w:t>
      </w:r>
    </w:p>
    <w:p w:rsidR="00775EA8" w:rsidRPr="00775EA8" w:rsidRDefault="000B5273" w:rsidP="00775EA8">
      <w:pPr>
        <w:ind w:firstLineChars="200" w:firstLine="643"/>
        <w:rPr>
          <w:rFonts w:ascii="楷体" w:eastAsia="楷体" w:hAnsi="楷体"/>
          <w:b/>
          <w:sz w:val="32"/>
          <w:szCs w:val="32"/>
        </w:rPr>
      </w:pPr>
      <w:r w:rsidRPr="00775EA8">
        <w:rPr>
          <w:rFonts w:ascii="楷体" w:eastAsia="楷体" w:hAnsi="楷体" w:hint="eastAsia"/>
          <w:b/>
          <w:sz w:val="32"/>
          <w:szCs w:val="32"/>
        </w:rPr>
        <w:t>（二）</w:t>
      </w:r>
      <w:r w:rsidR="00775EA8" w:rsidRPr="00775EA8">
        <w:rPr>
          <w:rFonts w:ascii="楷体" w:eastAsia="楷体" w:hAnsi="楷体" w:hint="eastAsia"/>
          <w:b/>
          <w:sz w:val="32"/>
          <w:szCs w:val="32"/>
        </w:rPr>
        <w:t>险种</w:t>
      </w:r>
      <w:r w:rsidR="00647A78">
        <w:rPr>
          <w:rFonts w:ascii="楷体" w:eastAsia="楷体" w:hAnsi="楷体" w:hint="eastAsia"/>
          <w:b/>
          <w:sz w:val="32"/>
          <w:szCs w:val="32"/>
        </w:rPr>
        <w:t>结构</w:t>
      </w:r>
      <w:r w:rsidR="00775EA8" w:rsidRPr="00775EA8">
        <w:rPr>
          <w:rFonts w:ascii="楷体" w:eastAsia="楷体" w:hAnsi="楷体" w:hint="eastAsia"/>
          <w:b/>
          <w:sz w:val="32"/>
          <w:szCs w:val="32"/>
        </w:rPr>
        <w:t>不断优化</w:t>
      </w:r>
      <w:r w:rsidRPr="00775EA8">
        <w:rPr>
          <w:rFonts w:ascii="楷体" w:eastAsia="楷体" w:hAnsi="楷体" w:hint="eastAsia"/>
          <w:b/>
          <w:sz w:val="32"/>
          <w:szCs w:val="32"/>
        </w:rPr>
        <w:t>。</w:t>
      </w:r>
    </w:p>
    <w:p w:rsidR="00775EA8" w:rsidRDefault="004D2990" w:rsidP="00775EA8">
      <w:pPr>
        <w:ind w:firstLineChars="200" w:firstLine="640"/>
        <w:rPr>
          <w:rFonts w:ascii="仿宋_GB2312" w:eastAsia="仿宋_GB2312" w:hAnsi="宋体"/>
          <w:sz w:val="32"/>
          <w:szCs w:val="32"/>
        </w:rPr>
      </w:pPr>
      <w:r>
        <w:rPr>
          <w:rFonts w:ascii="仿宋_GB2312" w:eastAsia="仿宋_GB2312" w:hAnsi="宋体" w:hint="eastAsia"/>
          <w:sz w:val="32"/>
          <w:szCs w:val="32"/>
        </w:rPr>
        <w:t>1-3季度</w:t>
      </w:r>
      <w:r w:rsidR="00775EA8" w:rsidRPr="00CA539D">
        <w:rPr>
          <w:rFonts w:ascii="仿宋_GB2312" w:eastAsia="仿宋_GB2312" w:hAnsi="宋体" w:hint="eastAsia"/>
          <w:sz w:val="32"/>
          <w:szCs w:val="32"/>
        </w:rPr>
        <w:t>,我市</w:t>
      </w:r>
      <w:proofErr w:type="gramStart"/>
      <w:r w:rsidR="00775EA8" w:rsidRPr="00CA539D">
        <w:rPr>
          <w:rFonts w:ascii="仿宋_GB2312" w:eastAsia="仿宋_GB2312" w:hAnsi="宋体" w:hint="eastAsia"/>
          <w:sz w:val="32"/>
          <w:szCs w:val="32"/>
        </w:rPr>
        <w:t>个</w:t>
      </w:r>
      <w:proofErr w:type="gramEnd"/>
      <w:r w:rsidR="00775EA8" w:rsidRPr="00CA539D">
        <w:rPr>
          <w:rFonts w:ascii="仿宋_GB2312" w:eastAsia="仿宋_GB2312" w:hAnsi="宋体" w:hint="eastAsia"/>
          <w:sz w:val="32"/>
          <w:szCs w:val="32"/>
        </w:rPr>
        <w:t>险保费</w:t>
      </w:r>
      <w:r>
        <w:rPr>
          <w:rFonts w:ascii="仿宋_GB2312" w:eastAsia="仿宋_GB2312" w:hAnsi="宋体" w:hint="eastAsia"/>
          <w:sz w:val="32"/>
          <w:szCs w:val="32"/>
        </w:rPr>
        <w:t>199</w:t>
      </w:r>
      <w:r w:rsidR="00775EA8" w:rsidRPr="00CA539D">
        <w:rPr>
          <w:rFonts w:ascii="仿宋_GB2312" w:eastAsia="仿宋_GB2312" w:hAnsi="宋体" w:hint="eastAsia"/>
          <w:sz w:val="32"/>
          <w:szCs w:val="32"/>
        </w:rPr>
        <w:t>,</w:t>
      </w:r>
      <w:r>
        <w:rPr>
          <w:rFonts w:ascii="仿宋_GB2312" w:eastAsia="仿宋_GB2312" w:hAnsi="宋体" w:hint="eastAsia"/>
          <w:sz w:val="32"/>
          <w:szCs w:val="32"/>
        </w:rPr>
        <w:t>898</w:t>
      </w:r>
      <w:r w:rsidR="00775EA8" w:rsidRPr="00CA539D">
        <w:rPr>
          <w:rFonts w:ascii="仿宋_GB2312" w:eastAsia="仿宋_GB2312" w:hAnsi="宋体" w:hint="eastAsia"/>
          <w:sz w:val="32"/>
          <w:szCs w:val="32"/>
        </w:rPr>
        <w:t>万元，占总保费</w:t>
      </w:r>
      <w:r w:rsidR="007E53D5">
        <w:rPr>
          <w:rFonts w:ascii="仿宋_GB2312" w:eastAsia="仿宋_GB2312" w:hAnsi="宋体" w:hint="eastAsia"/>
          <w:sz w:val="32"/>
          <w:szCs w:val="32"/>
        </w:rPr>
        <w:t>61.14</w:t>
      </w:r>
      <w:r w:rsidR="00775EA8" w:rsidRPr="00CA539D">
        <w:rPr>
          <w:rFonts w:ascii="仿宋_GB2312" w:eastAsia="仿宋_GB2312" w:hAnsi="宋体" w:hint="eastAsia"/>
          <w:sz w:val="32"/>
          <w:szCs w:val="32"/>
        </w:rPr>
        <w:t>%，同比增加</w:t>
      </w:r>
      <w:r w:rsidR="007E53D5">
        <w:rPr>
          <w:rFonts w:ascii="仿宋_GB2312" w:eastAsia="仿宋_GB2312" w:hAnsi="宋体" w:hint="eastAsia"/>
          <w:sz w:val="32"/>
          <w:szCs w:val="32"/>
        </w:rPr>
        <w:t>1.2</w:t>
      </w:r>
      <w:r w:rsidR="00775EA8" w:rsidRPr="00CA539D">
        <w:rPr>
          <w:rFonts w:ascii="仿宋_GB2312" w:eastAsia="仿宋_GB2312" w:hAnsi="宋体" w:hint="eastAsia"/>
          <w:sz w:val="32"/>
          <w:szCs w:val="32"/>
        </w:rPr>
        <w:t>个百分点；</w:t>
      </w:r>
      <w:r w:rsidR="00775EA8">
        <w:rPr>
          <w:rFonts w:ascii="仿宋_GB2312" w:eastAsia="仿宋_GB2312" w:hAnsi="宋体" w:hint="eastAsia"/>
          <w:sz w:val="32"/>
          <w:szCs w:val="32"/>
        </w:rPr>
        <w:t>团险保费</w:t>
      </w:r>
      <w:r w:rsidR="007E53D5">
        <w:rPr>
          <w:rFonts w:ascii="仿宋_GB2312" w:eastAsia="仿宋_GB2312" w:hAnsi="宋体" w:hint="eastAsia"/>
          <w:sz w:val="32"/>
          <w:szCs w:val="32"/>
        </w:rPr>
        <w:t>14</w:t>
      </w:r>
      <w:r w:rsidR="00775EA8" w:rsidRPr="00CA539D">
        <w:rPr>
          <w:rFonts w:ascii="仿宋_GB2312" w:eastAsia="仿宋_GB2312" w:hAnsi="宋体" w:hint="eastAsia"/>
          <w:sz w:val="32"/>
          <w:szCs w:val="32"/>
        </w:rPr>
        <w:t>,</w:t>
      </w:r>
      <w:r w:rsidR="007E53D5">
        <w:rPr>
          <w:rFonts w:ascii="仿宋_GB2312" w:eastAsia="仿宋_GB2312" w:hAnsi="宋体" w:hint="eastAsia"/>
          <w:sz w:val="32"/>
          <w:szCs w:val="32"/>
        </w:rPr>
        <w:t>121</w:t>
      </w:r>
      <w:r w:rsidR="00775EA8" w:rsidRPr="00CA539D">
        <w:rPr>
          <w:rFonts w:ascii="仿宋_GB2312" w:eastAsia="仿宋_GB2312" w:hAnsi="宋体" w:hint="eastAsia"/>
          <w:sz w:val="32"/>
          <w:szCs w:val="32"/>
        </w:rPr>
        <w:t>万元，占总保费</w:t>
      </w:r>
      <w:r w:rsidR="007E53D5">
        <w:rPr>
          <w:rFonts w:ascii="仿宋_GB2312" w:eastAsia="仿宋_GB2312" w:hAnsi="宋体" w:hint="eastAsia"/>
          <w:sz w:val="32"/>
          <w:szCs w:val="32"/>
        </w:rPr>
        <w:t>4.32</w:t>
      </w:r>
      <w:r w:rsidR="00775EA8" w:rsidRPr="00CA539D">
        <w:rPr>
          <w:rFonts w:ascii="仿宋_GB2312" w:eastAsia="仿宋_GB2312" w:hAnsi="宋体" w:hint="eastAsia"/>
          <w:sz w:val="32"/>
          <w:szCs w:val="32"/>
        </w:rPr>
        <w:t>%，同比增加</w:t>
      </w:r>
      <w:r w:rsidR="00775EA8">
        <w:rPr>
          <w:rFonts w:ascii="仿宋_GB2312" w:eastAsia="仿宋_GB2312" w:hAnsi="宋体" w:hint="eastAsia"/>
          <w:sz w:val="32"/>
          <w:szCs w:val="32"/>
        </w:rPr>
        <w:t>0.</w:t>
      </w:r>
      <w:r w:rsidR="007E53D5">
        <w:rPr>
          <w:rFonts w:ascii="仿宋_GB2312" w:eastAsia="仿宋_GB2312" w:hAnsi="宋体" w:hint="eastAsia"/>
          <w:sz w:val="32"/>
          <w:szCs w:val="32"/>
        </w:rPr>
        <w:t>9</w:t>
      </w:r>
      <w:r w:rsidR="00775EA8" w:rsidRPr="00CA539D">
        <w:rPr>
          <w:rFonts w:ascii="仿宋_GB2312" w:eastAsia="仿宋_GB2312" w:hAnsi="宋体" w:hint="eastAsia"/>
          <w:sz w:val="32"/>
          <w:szCs w:val="32"/>
        </w:rPr>
        <w:t>个百分点；</w:t>
      </w:r>
      <w:proofErr w:type="gramStart"/>
      <w:r w:rsidR="00775EA8" w:rsidRPr="00CA539D">
        <w:rPr>
          <w:rFonts w:ascii="仿宋_GB2312" w:eastAsia="仿宋_GB2312" w:hAnsi="宋体" w:hint="eastAsia"/>
          <w:sz w:val="32"/>
          <w:szCs w:val="32"/>
        </w:rPr>
        <w:t>个</w:t>
      </w:r>
      <w:proofErr w:type="gramEnd"/>
      <w:r w:rsidR="00775EA8" w:rsidRPr="00CA539D">
        <w:rPr>
          <w:rFonts w:ascii="仿宋_GB2312" w:eastAsia="仿宋_GB2312" w:hAnsi="宋体" w:hint="eastAsia"/>
          <w:sz w:val="32"/>
          <w:szCs w:val="32"/>
        </w:rPr>
        <w:t>险保费占比、</w:t>
      </w:r>
      <w:r w:rsidR="00775EA8">
        <w:rPr>
          <w:rFonts w:ascii="仿宋_GB2312" w:eastAsia="仿宋_GB2312" w:hAnsi="宋体" w:hint="eastAsia"/>
          <w:sz w:val="32"/>
          <w:szCs w:val="32"/>
        </w:rPr>
        <w:t>团险</w:t>
      </w:r>
      <w:r w:rsidR="00775EA8" w:rsidRPr="00CA539D">
        <w:rPr>
          <w:rFonts w:ascii="仿宋_GB2312" w:eastAsia="仿宋_GB2312" w:hAnsi="宋体" w:hint="eastAsia"/>
          <w:sz w:val="32"/>
          <w:szCs w:val="32"/>
        </w:rPr>
        <w:t>保费占比的持续增加，说明</w:t>
      </w:r>
      <w:r w:rsidR="007E53D5">
        <w:rPr>
          <w:rFonts w:ascii="仿宋_GB2312" w:eastAsia="仿宋_GB2312" w:hAnsi="宋体" w:hint="eastAsia"/>
          <w:sz w:val="32"/>
          <w:szCs w:val="32"/>
        </w:rPr>
        <w:t>1-3季度</w:t>
      </w:r>
      <w:r w:rsidR="00775EA8" w:rsidRPr="00CA539D">
        <w:rPr>
          <w:rFonts w:ascii="仿宋_GB2312" w:eastAsia="仿宋_GB2312" w:hAnsi="宋体" w:hint="eastAsia"/>
          <w:sz w:val="32"/>
          <w:szCs w:val="32"/>
        </w:rPr>
        <w:t>我市保险业的转型升级取得了一定成效，险种结构日趋合理，</w:t>
      </w:r>
      <w:proofErr w:type="gramStart"/>
      <w:r w:rsidR="00775EA8" w:rsidRPr="00CA539D">
        <w:rPr>
          <w:rFonts w:ascii="仿宋_GB2312" w:eastAsia="仿宋_GB2312" w:hAnsi="宋体" w:hint="eastAsia"/>
          <w:sz w:val="32"/>
          <w:szCs w:val="32"/>
        </w:rPr>
        <w:t>创费能力</w:t>
      </w:r>
      <w:proofErr w:type="gramEnd"/>
      <w:r w:rsidR="00775EA8" w:rsidRPr="00CA539D">
        <w:rPr>
          <w:rFonts w:ascii="仿宋_GB2312" w:eastAsia="仿宋_GB2312" w:hAnsi="宋体" w:hint="eastAsia"/>
          <w:sz w:val="32"/>
          <w:szCs w:val="32"/>
        </w:rPr>
        <w:t>也在持续提高。</w:t>
      </w:r>
    </w:p>
    <w:p w:rsidR="00775EA8" w:rsidRPr="00C23AA0" w:rsidRDefault="00775EA8" w:rsidP="00C23AA0">
      <w:pPr>
        <w:ind w:firstLineChars="200" w:firstLine="643"/>
        <w:rPr>
          <w:rFonts w:ascii="楷体" w:eastAsia="楷体" w:hAnsi="楷体"/>
          <w:b/>
          <w:sz w:val="32"/>
          <w:szCs w:val="32"/>
        </w:rPr>
      </w:pPr>
      <w:r w:rsidRPr="00C23AA0">
        <w:rPr>
          <w:rFonts w:ascii="楷体" w:eastAsia="楷体" w:hAnsi="楷体" w:hint="eastAsia"/>
          <w:b/>
          <w:sz w:val="32"/>
          <w:szCs w:val="32"/>
        </w:rPr>
        <w:t>（三）客户健康意识不断提高</w:t>
      </w:r>
      <w:r w:rsidR="00C23AA0">
        <w:rPr>
          <w:rFonts w:ascii="楷体" w:eastAsia="楷体" w:hAnsi="楷体" w:hint="eastAsia"/>
          <w:b/>
          <w:sz w:val="32"/>
          <w:szCs w:val="32"/>
        </w:rPr>
        <w:t>。</w:t>
      </w:r>
    </w:p>
    <w:p w:rsidR="00FE638B" w:rsidRPr="00CA539D" w:rsidRDefault="00926A39" w:rsidP="00FE638B">
      <w:pPr>
        <w:ind w:firstLineChars="200" w:firstLine="640"/>
        <w:rPr>
          <w:rFonts w:ascii="仿宋_GB2312" w:eastAsia="仿宋_GB2312" w:hAnsi="宋体"/>
          <w:sz w:val="32"/>
          <w:szCs w:val="32"/>
        </w:rPr>
      </w:pPr>
      <w:r>
        <w:rPr>
          <w:rFonts w:ascii="仿宋_GB2312" w:eastAsia="仿宋_GB2312" w:hAnsi="宋体" w:hint="eastAsia"/>
          <w:sz w:val="32"/>
          <w:szCs w:val="32"/>
        </w:rPr>
        <w:t>1-3季度</w:t>
      </w:r>
      <w:r w:rsidR="00FE638B">
        <w:rPr>
          <w:rFonts w:ascii="仿宋_GB2312" w:eastAsia="仿宋_GB2312" w:hAnsi="宋体" w:hint="eastAsia"/>
          <w:sz w:val="32"/>
          <w:szCs w:val="32"/>
        </w:rPr>
        <w:t>，</w:t>
      </w:r>
      <w:r w:rsidR="00FE638B" w:rsidRPr="00CA539D">
        <w:rPr>
          <w:rFonts w:ascii="仿宋_GB2312" w:eastAsia="仿宋_GB2312" w:hAnsi="宋体" w:hint="eastAsia"/>
          <w:sz w:val="32"/>
          <w:szCs w:val="32"/>
        </w:rPr>
        <w:t>我市健康险保费</w:t>
      </w:r>
      <w:r>
        <w:rPr>
          <w:rFonts w:ascii="仿宋_GB2312" w:eastAsia="仿宋_GB2312" w:hAnsi="宋体" w:hint="eastAsia"/>
          <w:sz w:val="32"/>
          <w:szCs w:val="32"/>
        </w:rPr>
        <w:t>54</w:t>
      </w:r>
      <w:r w:rsidR="00FE638B">
        <w:rPr>
          <w:rFonts w:ascii="仿宋_GB2312" w:eastAsia="仿宋_GB2312" w:hAnsi="宋体" w:hint="eastAsia"/>
          <w:sz w:val="32"/>
          <w:szCs w:val="32"/>
        </w:rPr>
        <w:t>,</w:t>
      </w:r>
      <w:r>
        <w:rPr>
          <w:rFonts w:ascii="仿宋_GB2312" w:eastAsia="仿宋_GB2312" w:hAnsi="宋体" w:hint="eastAsia"/>
          <w:sz w:val="32"/>
          <w:szCs w:val="32"/>
        </w:rPr>
        <w:t>465</w:t>
      </w:r>
      <w:r w:rsidR="00FE638B">
        <w:rPr>
          <w:rFonts w:ascii="仿宋_GB2312" w:eastAsia="仿宋_GB2312" w:hAnsi="宋体" w:hint="eastAsia"/>
          <w:sz w:val="32"/>
          <w:szCs w:val="32"/>
        </w:rPr>
        <w:t>万元，</w:t>
      </w:r>
      <w:r w:rsidR="00AD42B5" w:rsidRPr="00CA539D">
        <w:rPr>
          <w:rFonts w:ascii="仿宋_GB2312" w:eastAsia="仿宋_GB2312" w:hint="eastAsia"/>
          <w:sz w:val="32"/>
          <w:szCs w:val="32"/>
        </w:rPr>
        <w:t>同比</w:t>
      </w:r>
      <w:r w:rsidR="00AD42B5">
        <w:rPr>
          <w:rFonts w:ascii="仿宋_GB2312" w:eastAsia="仿宋_GB2312" w:hint="eastAsia"/>
          <w:sz w:val="32"/>
          <w:szCs w:val="32"/>
        </w:rPr>
        <w:t>增长</w:t>
      </w:r>
      <w:r w:rsidR="002047F2">
        <w:rPr>
          <w:rFonts w:ascii="仿宋_GB2312" w:eastAsia="仿宋_GB2312" w:hint="eastAsia"/>
          <w:sz w:val="32"/>
          <w:szCs w:val="32"/>
        </w:rPr>
        <w:t>25</w:t>
      </w:r>
      <w:r w:rsidR="00AD42B5">
        <w:rPr>
          <w:rFonts w:ascii="仿宋_GB2312" w:eastAsia="仿宋_GB2312" w:hint="eastAsia"/>
          <w:sz w:val="32"/>
          <w:szCs w:val="32"/>
        </w:rPr>
        <w:t>.</w:t>
      </w:r>
      <w:r w:rsidR="002047F2">
        <w:rPr>
          <w:rFonts w:ascii="仿宋_GB2312" w:eastAsia="仿宋_GB2312" w:hint="eastAsia"/>
          <w:sz w:val="32"/>
          <w:szCs w:val="32"/>
        </w:rPr>
        <w:t>92</w:t>
      </w:r>
      <w:r w:rsidR="00AD42B5" w:rsidRPr="00CA539D">
        <w:rPr>
          <w:rFonts w:ascii="仿宋_GB2312" w:eastAsia="仿宋_GB2312" w:hint="eastAsia"/>
          <w:sz w:val="32"/>
          <w:szCs w:val="32"/>
        </w:rPr>
        <w:t>%</w:t>
      </w:r>
      <w:r w:rsidR="00AD42B5">
        <w:rPr>
          <w:rFonts w:ascii="仿宋_GB2312" w:eastAsia="仿宋_GB2312" w:hint="eastAsia"/>
          <w:sz w:val="32"/>
          <w:szCs w:val="32"/>
        </w:rPr>
        <w:t>，</w:t>
      </w:r>
      <w:r w:rsidR="00FE638B">
        <w:rPr>
          <w:rFonts w:ascii="仿宋_GB2312" w:eastAsia="仿宋_GB2312" w:hint="eastAsia"/>
          <w:sz w:val="32"/>
          <w:szCs w:val="32"/>
        </w:rPr>
        <w:t>占总保费</w:t>
      </w:r>
      <w:r w:rsidR="002047F2">
        <w:rPr>
          <w:rFonts w:ascii="仿宋_GB2312" w:eastAsia="仿宋_GB2312" w:hint="eastAsia"/>
          <w:sz w:val="32"/>
          <w:szCs w:val="32"/>
        </w:rPr>
        <w:t>16.7</w:t>
      </w:r>
      <w:r w:rsidR="00FE638B" w:rsidRPr="00CA539D">
        <w:rPr>
          <w:rFonts w:ascii="仿宋_GB2312" w:eastAsia="仿宋_GB2312" w:hint="eastAsia"/>
          <w:sz w:val="32"/>
          <w:szCs w:val="32"/>
        </w:rPr>
        <w:t>%，</w:t>
      </w:r>
      <w:r w:rsidR="00AD42B5">
        <w:rPr>
          <w:rFonts w:ascii="仿宋_GB2312" w:eastAsia="仿宋_GB2312" w:hint="eastAsia"/>
          <w:sz w:val="32"/>
          <w:szCs w:val="32"/>
        </w:rPr>
        <w:t>同比增加3.</w:t>
      </w:r>
      <w:r w:rsidR="002047F2">
        <w:rPr>
          <w:rFonts w:ascii="仿宋_GB2312" w:eastAsia="仿宋_GB2312" w:hint="eastAsia"/>
          <w:sz w:val="32"/>
          <w:szCs w:val="32"/>
        </w:rPr>
        <w:t>01</w:t>
      </w:r>
      <w:r w:rsidR="00AD42B5">
        <w:rPr>
          <w:rFonts w:ascii="仿宋_GB2312" w:eastAsia="仿宋_GB2312" w:hint="eastAsia"/>
          <w:sz w:val="32"/>
          <w:szCs w:val="32"/>
        </w:rPr>
        <w:t>个百分点，</w:t>
      </w:r>
      <w:r w:rsidR="00D077D4">
        <w:rPr>
          <w:rFonts w:ascii="仿宋_GB2312" w:eastAsia="仿宋_GB2312" w:hint="eastAsia"/>
          <w:sz w:val="32"/>
          <w:szCs w:val="32"/>
        </w:rPr>
        <w:t>健康险保费的大幅增长说明此次新冠疫情对广大客户的健康意识的提高，起到了很大的推动作用，未来健康保险必将迎来更大的发展</w:t>
      </w:r>
      <w:r w:rsidR="00FE638B" w:rsidRPr="00CA539D">
        <w:rPr>
          <w:rFonts w:ascii="仿宋_GB2312" w:eastAsia="仿宋_GB2312" w:hAnsi="宋体" w:hint="eastAsia"/>
          <w:sz w:val="32"/>
          <w:szCs w:val="32"/>
        </w:rPr>
        <w:t>。</w:t>
      </w:r>
    </w:p>
    <w:p w:rsidR="00895683" w:rsidRPr="00CA539D" w:rsidRDefault="00895683" w:rsidP="00895683">
      <w:pPr>
        <w:ind w:firstLineChars="200" w:firstLine="640"/>
        <w:rPr>
          <w:rFonts w:ascii="黑体" w:eastAsia="黑体" w:hAnsi="宋体"/>
          <w:sz w:val="32"/>
          <w:szCs w:val="32"/>
        </w:rPr>
      </w:pPr>
      <w:r>
        <w:rPr>
          <w:rFonts w:ascii="黑体" w:eastAsia="黑体" w:hAnsi="宋体" w:hint="eastAsia"/>
          <w:sz w:val="32"/>
          <w:szCs w:val="32"/>
        </w:rPr>
        <w:t>三、经营建议</w:t>
      </w:r>
    </w:p>
    <w:p w:rsidR="002827DA" w:rsidRPr="002827DA" w:rsidRDefault="00895683" w:rsidP="006D70BB">
      <w:pPr>
        <w:ind w:firstLineChars="200" w:firstLine="640"/>
        <w:jc w:val="left"/>
        <w:rPr>
          <w:rFonts w:ascii="仿宋" w:eastAsia="仿宋" w:hAnsi="仿宋"/>
        </w:rPr>
      </w:pPr>
      <w:r>
        <w:rPr>
          <w:rFonts w:ascii="仿宋" w:eastAsia="仿宋" w:hAnsi="仿宋" w:cstheme="minorBidi" w:hint="eastAsia"/>
          <w:color w:val="000000" w:themeColor="text1"/>
          <w:kern w:val="24"/>
          <w:sz w:val="32"/>
          <w:szCs w:val="32"/>
        </w:rPr>
        <w:lastRenderedPageBreak/>
        <w:t>针对我市人身险市场出现的新形势，</w:t>
      </w:r>
      <w:r w:rsidR="002047F2">
        <w:rPr>
          <w:rFonts w:ascii="仿宋" w:eastAsia="仿宋" w:hAnsi="仿宋" w:cstheme="minorBidi" w:hint="eastAsia"/>
          <w:color w:val="000000" w:themeColor="text1"/>
          <w:kern w:val="24"/>
          <w:sz w:val="32"/>
          <w:szCs w:val="32"/>
        </w:rPr>
        <w:t>4季度</w:t>
      </w:r>
      <w:r w:rsidR="002827DA" w:rsidRPr="002827DA">
        <w:rPr>
          <w:rFonts w:ascii="仿宋" w:eastAsia="仿宋" w:hAnsi="仿宋" w:cstheme="minorBidi" w:hint="eastAsia"/>
          <w:color w:val="000000" w:themeColor="text1"/>
          <w:kern w:val="24"/>
          <w:sz w:val="32"/>
          <w:szCs w:val="32"/>
        </w:rPr>
        <w:t>，市协会提出如下建议：</w:t>
      </w:r>
    </w:p>
    <w:p w:rsidR="00A54FCA" w:rsidRPr="00CA539D" w:rsidRDefault="00A54FCA" w:rsidP="00A54FCA">
      <w:pPr>
        <w:ind w:firstLineChars="200" w:firstLine="643"/>
        <w:rPr>
          <w:rFonts w:ascii="楷体" w:eastAsia="楷体" w:hAnsi="楷体" w:cs="Arial"/>
          <w:b/>
          <w:bCs/>
          <w:kern w:val="0"/>
          <w:sz w:val="32"/>
          <w:szCs w:val="32"/>
        </w:rPr>
      </w:pPr>
      <w:r w:rsidRPr="00CA539D">
        <w:rPr>
          <w:rFonts w:ascii="楷体" w:eastAsia="楷体" w:hAnsi="楷体" w:hint="eastAsia"/>
          <w:b/>
          <w:bCs/>
          <w:sz w:val="32"/>
          <w:szCs w:val="32"/>
        </w:rPr>
        <w:t>（</w:t>
      </w:r>
      <w:r>
        <w:rPr>
          <w:rFonts w:ascii="楷体" w:eastAsia="楷体" w:hAnsi="楷体" w:hint="eastAsia"/>
          <w:b/>
          <w:bCs/>
          <w:sz w:val="32"/>
          <w:szCs w:val="32"/>
        </w:rPr>
        <w:t>一</w:t>
      </w:r>
      <w:r w:rsidRPr="00CA539D">
        <w:rPr>
          <w:rFonts w:ascii="楷体" w:eastAsia="楷体" w:hAnsi="楷体" w:hint="eastAsia"/>
          <w:b/>
          <w:bCs/>
          <w:sz w:val="32"/>
          <w:szCs w:val="32"/>
        </w:rPr>
        <w:t>）</w:t>
      </w:r>
      <w:r w:rsidR="00762474">
        <w:rPr>
          <w:rFonts w:ascii="楷体" w:eastAsia="楷体" w:hAnsi="楷体" w:cs="Arial" w:hint="eastAsia"/>
          <w:b/>
          <w:bCs/>
          <w:kern w:val="0"/>
          <w:sz w:val="32"/>
          <w:szCs w:val="32"/>
        </w:rPr>
        <w:t>面对挑战，坚定信心</w:t>
      </w:r>
      <w:r w:rsidR="00655666">
        <w:rPr>
          <w:rFonts w:ascii="楷体" w:eastAsia="楷体" w:hAnsi="楷体" w:cs="Arial" w:hint="eastAsia"/>
          <w:b/>
          <w:bCs/>
          <w:kern w:val="0"/>
          <w:sz w:val="32"/>
          <w:szCs w:val="32"/>
        </w:rPr>
        <w:t>。</w:t>
      </w:r>
    </w:p>
    <w:p w:rsidR="00762474" w:rsidRDefault="00655666" w:rsidP="00762474">
      <w:pPr>
        <w:pStyle w:val="a8"/>
        <w:spacing w:beforeLines="50" w:before="156" w:afterLines="50" w:after="156" w:line="360" w:lineRule="auto"/>
        <w:rPr>
          <w:rFonts w:hAnsi="宋体"/>
          <w:szCs w:val="32"/>
        </w:rPr>
      </w:pPr>
      <w:r w:rsidRPr="00655666">
        <w:rPr>
          <w:rFonts w:ascii="仿宋" w:eastAsia="仿宋" w:hAnsi="仿宋" w:hint="eastAsia"/>
          <w:szCs w:val="32"/>
        </w:rPr>
        <w:t>新冠</w:t>
      </w:r>
      <w:r w:rsidR="00A76A55">
        <w:rPr>
          <w:rFonts w:ascii="仿宋" w:eastAsia="仿宋" w:hAnsi="仿宋" w:hint="eastAsia"/>
          <w:szCs w:val="32"/>
        </w:rPr>
        <w:t>病毒疫情对我市保险业</w:t>
      </w:r>
      <w:r>
        <w:rPr>
          <w:rFonts w:ascii="仿宋" w:eastAsia="仿宋" w:hAnsi="仿宋" w:hint="eastAsia"/>
          <w:szCs w:val="32"/>
        </w:rPr>
        <w:t>发展短期是带来了一定影响，打乱了各公司原有的经营节奏，尤其是对</w:t>
      </w:r>
      <w:r w:rsidR="00360EBE">
        <w:rPr>
          <w:rFonts w:ascii="仿宋" w:eastAsia="仿宋" w:hAnsi="仿宋" w:hint="eastAsia"/>
          <w:szCs w:val="32"/>
        </w:rPr>
        <w:t>个别公司</w:t>
      </w:r>
      <w:r>
        <w:rPr>
          <w:rFonts w:ascii="仿宋" w:eastAsia="仿宋" w:hAnsi="仿宋" w:hint="eastAsia"/>
          <w:szCs w:val="32"/>
        </w:rPr>
        <w:t>开门红业务造成了很大</w:t>
      </w:r>
      <w:r w:rsidRPr="00655666">
        <w:rPr>
          <w:rFonts w:ascii="仿宋" w:eastAsia="仿宋" w:hAnsi="仿宋" w:hint="eastAsia"/>
          <w:szCs w:val="32"/>
        </w:rPr>
        <w:t>的冲击，</w:t>
      </w:r>
      <w:r>
        <w:rPr>
          <w:rFonts w:ascii="仿宋" w:eastAsia="仿宋" w:hAnsi="仿宋" w:hint="eastAsia"/>
          <w:szCs w:val="32"/>
        </w:rPr>
        <w:t>但是，我们更应该看到，</w:t>
      </w:r>
      <w:r w:rsidRPr="00655666">
        <w:rPr>
          <w:rFonts w:hint="eastAsia"/>
          <w:szCs w:val="32"/>
        </w:rPr>
        <w:t>经过这次疫情，</w:t>
      </w:r>
      <w:r>
        <w:rPr>
          <w:rFonts w:hint="eastAsia"/>
          <w:szCs w:val="32"/>
        </w:rPr>
        <w:t>广大</w:t>
      </w:r>
      <w:r w:rsidRPr="00655666">
        <w:rPr>
          <w:rFonts w:hint="eastAsia"/>
          <w:szCs w:val="32"/>
        </w:rPr>
        <w:t>消费者的</w:t>
      </w:r>
      <w:r>
        <w:rPr>
          <w:rFonts w:hint="eastAsia"/>
          <w:szCs w:val="32"/>
        </w:rPr>
        <w:t>保险</w:t>
      </w:r>
      <w:r w:rsidRPr="00655666">
        <w:rPr>
          <w:rFonts w:hint="eastAsia"/>
          <w:szCs w:val="32"/>
        </w:rPr>
        <w:t>意识必然会大幅提升，对健康险等具有保障功能的产品需求将进一步增强</w:t>
      </w:r>
      <w:r w:rsidR="00762474">
        <w:rPr>
          <w:rFonts w:hint="eastAsia"/>
          <w:szCs w:val="32"/>
        </w:rPr>
        <w:t>，</w:t>
      </w:r>
      <w:r w:rsidRPr="00655666">
        <w:rPr>
          <w:rFonts w:hint="eastAsia"/>
          <w:szCs w:val="32"/>
        </w:rPr>
        <w:t>虽然受疫情影响导致业务</w:t>
      </w:r>
      <w:r w:rsidR="00A76A55">
        <w:rPr>
          <w:rFonts w:hint="eastAsia"/>
          <w:szCs w:val="32"/>
        </w:rPr>
        <w:t>短期内</w:t>
      </w:r>
      <w:r w:rsidRPr="00655666">
        <w:rPr>
          <w:rFonts w:hint="eastAsia"/>
          <w:szCs w:val="32"/>
        </w:rPr>
        <w:t>出现一定下滑，但是人身险</w:t>
      </w:r>
      <w:r w:rsidR="00762474">
        <w:rPr>
          <w:rFonts w:hint="eastAsia"/>
          <w:szCs w:val="32"/>
        </w:rPr>
        <w:t>市场</w:t>
      </w:r>
      <w:r w:rsidRPr="00655666">
        <w:rPr>
          <w:rFonts w:hint="eastAsia"/>
          <w:szCs w:val="32"/>
        </w:rPr>
        <w:t>长期向好的</w:t>
      </w:r>
      <w:r w:rsidR="00762474">
        <w:rPr>
          <w:rFonts w:hint="eastAsia"/>
          <w:szCs w:val="32"/>
        </w:rPr>
        <w:t>趋势</w:t>
      </w:r>
      <w:r w:rsidRPr="00655666">
        <w:rPr>
          <w:rFonts w:hint="eastAsia"/>
          <w:szCs w:val="32"/>
        </w:rPr>
        <w:t>不会改变。</w:t>
      </w:r>
    </w:p>
    <w:p w:rsidR="00A54FCA" w:rsidRPr="00CA539D" w:rsidRDefault="00A54FCA" w:rsidP="00762474">
      <w:pPr>
        <w:pStyle w:val="a8"/>
        <w:spacing w:beforeLines="50" w:before="156" w:afterLines="50" w:after="156" w:line="360" w:lineRule="auto"/>
        <w:ind w:firstLine="643"/>
        <w:rPr>
          <w:rFonts w:ascii="楷体" w:eastAsia="楷体" w:hAnsi="楷体"/>
          <w:b/>
          <w:bCs/>
          <w:szCs w:val="32"/>
        </w:rPr>
      </w:pPr>
      <w:r w:rsidRPr="00CA539D">
        <w:rPr>
          <w:rFonts w:ascii="楷体" w:eastAsia="楷体" w:hAnsi="楷体" w:hint="eastAsia"/>
          <w:b/>
          <w:bCs/>
          <w:szCs w:val="32"/>
        </w:rPr>
        <w:t>（</w:t>
      </w:r>
      <w:r w:rsidR="00762474">
        <w:rPr>
          <w:rFonts w:ascii="楷体" w:eastAsia="楷体" w:hAnsi="楷体" w:hint="eastAsia"/>
          <w:b/>
          <w:bCs/>
          <w:szCs w:val="32"/>
        </w:rPr>
        <w:t>二</w:t>
      </w:r>
      <w:r w:rsidRPr="00CA539D">
        <w:rPr>
          <w:rFonts w:ascii="楷体" w:eastAsia="楷体" w:hAnsi="楷体" w:hint="eastAsia"/>
          <w:b/>
          <w:bCs/>
          <w:szCs w:val="32"/>
        </w:rPr>
        <w:t>）</w:t>
      </w:r>
      <w:r w:rsidR="009A3E0C">
        <w:rPr>
          <w:rFonts w:ascii="楷体" w:eastAsia="楷体" w:hAnsi="楷体" w:hint="eastAsia"/>
          <w:b/>
          <w:bCs/>
          <w:szCs w:val="32"/>
        </w:rPr>
        <w:t>转变观念，提升能力。</w:t>
      </w:r>
    </w:p>
    <w:p w:rsidR="009A3E0C" w:rsidRDefault="009A3E0C" w:rsidP="008850CD">
      <w:pPr>
        <w:ind w:firstLineChars="200" w:firstLine="640"/>
        <w:rPr>
          <w:rFonts w:ascii="仿宋_GB2312" w:eastAsia="仿宋_GB2312" w:hAnsi="宋体"/>
          <w:sz w:val="32"/>
          <w:szCs w:val="32"/>
        </w:rPr>
      </w:pPr>
      <w:r w:rsidRPr="009A3E0C">
        <w:rPr>
          <w:rFonts w:ascii="仿宋_GB2312" w:eastAsia="仿宋_GB2312" w:hAnsi="宋体" w:hint="eastAsia"/>
          <w:sz w:val="32"/>
          <w:szCs w:val="32"/>
        </w:rPr>
        <w:t>疫情</w:t>
      </w:r>
      <w:r>
        <w:rPr>
          <w:rFonts w:ascii="仿宋_GB2312" w:eastAsia="仿宋_GB2312" w:hAnsi="宋体" w:hint="eastAsia"/>
          <w:sz w:val="32"/>
          <w:szCs w:val="32"/>
        </w:rPr>
        <w:t>是</w:t>
      </w:r>
      <w:r w:rsidRPr="009A3E0C">
        <w:rPr>
          <w:rFonts w:ascii="仿宋_GB2312" w:eastAsia="仿宋_GB2312" w:hAnsi="宋体" w:hint="eastAsia"/>
          <w:sz w:val="32"/>
          <w:szCs w:val="32"/>
        </w:rPr>
        <w:t>灾害</w:t>
      </w:r>
      <w:r>
        <w:rPr>
          <w:rFonts w:ascii="仿宋_GB2312" w:eastAsia="仿宋_GB2312" w:hAnsi="宋体" w:hint="eastAsia"/>
          <w:sz w:val="32"/>
          <w:szCs w:val="32"/>
        </w:rPr>
        <w:t>又是机遇，在新冠</w:t>
      </w:r>
      <w:r w:rsidR="00A76A55">
        <w:rPr>
          <w:rFonts w:ascii="仿宋_GB2312" w:eastAsia="仿宋_GB2312" w:hAnsi="宋体" w:hint="eastAsia"/>
          <w:sz w:val="32"/>
          <w:szCs w:val="32"/>
        </w:rPr>
        <w:t>病毒</w:t>
      </w:r>
      <w:r>
        <w:rPr>
          <w:rFonts w:ascii="仿宋_GB2312" w:eastAsia="仿宋_GB2312" w:hAnsi="宋体" w:hint="eastAsia"/>
          <w:sz w:val="32"/>
          <w:szCs w:val="32"/>
        </w:rPr>
        <w:t>疫情的冲击下，传统的经营模式已经不能适应新的发展需要，</w:t>
      </w:r>
      <w:r w:rsidR="00A76A55">
        <w:rPr>
          <w:rFonts w:ascii="仿宋_GB2312" w:eastAsia="仿宋_GB2312" w:hAnsi="宋体" w:hint="eastAsia"/>
          <w:sz w:val="32"/>
          <w:szCs w:val="32"/>
        </w:rPr>
        <w:t>各</w:t>
      </w:r>
      <w:r w:rsidR="00ED1BB3">
        <w:rPr>
          <w:rFonts w:ascii="仿宋_GB2312" w:eastAsia="仿宋_GB2312" w:hAnsi="宋体" w:hint="eastAsia"/>
          <w:sz w:val="32"/>
          <w:szCs w:val="32"/>
        </w:rPr>
        <w:t>会员</w:t>
      </w:r>
      <w:r w:rsidR="00A76A55">
        <w:rPr>
          <w:rFonts w:ascii="仿宋_GB2312" w:eastAsia="仿宋_GB2312" w:hAnsi="宋体" w:hint="eastAsia"/>
          <w:sz w:val="32"/>
          <w:szCs w:val="32"/>
        </w:rPr>
        <w:t>公司应</w:t>
      </w:r>
      <w:r w:rsidR="00360EBE">
        <w:rPr>
          <w:rFonts w:ascii="仿宋_GB2312" w:eastAsia="仿宋_GB2312" w:hAnsi="宋体" w:hint="eastAsia"/>
          <w:sz w:val="32"/>
          <w:szCs w:val="32"/>
        </w:rPr>
        <w:t>加大</w:t>
      </w:r>
      <w:proofErr w:type="gramStart"/>
      <w:r w:rsidR="00360EBE">
        <w:rPr>
          <w:rFonts w:ascii="仿宋_GB2312" w:eastAsia="仿宋_GB2312" w:hAnsi="宋体" w:hint="eastAsia"/>
          <w:sz w:val="32"/>
          <w:szCs w:val="32"/>
        </w:rPr>
        <w:t>保险</w:t>
      </w:r>
      <w:r w:rsidR="008850CD">
        <w:rPr>
          <w:rFonts w:ascii="仿宋_GB2312" w:eastAsia="仿宋_GB2312" w:hAnsi="宋体" w:hint="eastAsia"/>
          <w:sz w:val="32"/>
          <w:szCs w:val="32"/>
        </w:rPr>
        <w:t>科技</w:t>
      </w:r>
      <w:proofErr w:type="gramEnd"/>
      <w:r w:rsidR="008850CD">
        <w:rPr>
          <w:rFonts w:ascii="仿宋_GB2312" w:eastAsia="仿宋_GB2312" w:hAnsi="宋体" w:hint="eastAsia"/>
          <w:sz w:val="32"/>
          <w:szCs w:val="32"/>
        </w:rPr>
        <w:t>的应用，线上承保、线上理赔、云技术、互联网销售应该逐步取代</w:t>
      </w:r>
      <w:r w:rsidR="00A76A55">
        <w:rPr>
          <w:rFonts w:ascii="仿宋_GB2312" w:eastAsia="仿宋_GB2312" w:hAnsi="宋体" w:hint="eastAsia"/>
          <w:sz w:val="32"/>
          <w:szCs w:val="32"/>
        </w:rPr>
        <w:t>传统</w:t>
      </w:r>
      <w:r w:rsidR="008850CD">
        <w:rPr>
          <w:rFonts w:ascii="仿宋_GB2312" w:eastAsia="仿宋_GB2312" w:hAnsi="宋体" w:hint="eastAsia"/>
          <w:sz w:val="32"/>
          <w:szCs w:val="32"/>
        </w:rPr>
        <w:t>的销售模式，过去那种人海战术的销售模式必将会被淘汰，科技创新必将助力保险业向着更高质量的发展迈进。</w:t>
      </w:r>
    </w:p>
    <w:p w:rsidR="008850CD" w:rsidRPr="00CA539D" w:rsidRDefault="008850CD" w:rsidP="008850CD">
      <w:pPr>
        <w:pStyle w:val="a8"/>
        <w:spacing w:beforeLines="50" w:before="156" w:afterLines="50" w:after="156" w:line="360" w:lineRule="auto"/>
        <w:ind w:firstLine="643"/>
        <w:rPr>
          <w:rFonts w:ascii="楷体" w:eastAsia="楷体" w:hAnsi="楷体"/>
          <w:b/>
          <w:bCs/>
          <w:szCs w:val="32"/>
        </w:rPr>
      </w:pPr>
      <w:r w:rsidRPr="00CA539D">
        <w:rPr>
          <w:rFonts w:ascii="楷体" w:eastAsia="楷体" w:hAnsi="楷体" w:hint="eastAsia"/>
          <w:b/>
          <w:bCs/>
          <w:szCs w:val="32"/>
        </w:rPr>
        <w:t>（</w:t>
      </w:r>
      <w:r>
        <w:rPr>
          <w:rFonts w:ascii="楷体" w:eastAsia="楷体" w:hAnsi="楷体" w:hint="eastAsia"/>
          <w:b/>
          <w:bCs/>
          <w:szCs w:val="32"/>
        </w:rPr>
        <w:t>三</w:t>
      </w:r>
      <w:r w:rsidRPr="00CA539D">
        <w:rPr>
          <w:rFonts w:ascii="楷体" w:eastAsia="楷体" w:hAnsi="楷体" w:hint="eastAsia"/>
          <w:b/>
          <w:bCs/>
          <w:szCs w:val="32"/>
        </w:rPr>
        <w:t>）</w:t>
      </w:r>
      <w:r>
        <w:rPr>
          <w:rFonts w:ascii="楷体" w:eastAsia="楷体" w:hAnsi="楷体" w:hint="eastAsia"/>
          <w:b/>
          <w:bCs/>
          <w:szCs w:val="32"/>
        </w:rPr>
        <w:t>严格管控，有序经营。</w:t>
      </w:r>
    </w:p>
    <w:p w:rsidR="001310C2" w:rsidRDefault="001310C2" w:rsidP="00D341AA">
      <w:pPr>
        <w:pStyle w:val="a6"/>
        <w:spacing w:before="0" w:beforeAutospacing="0" w:after="0" w:afterAutospacing="0"/>
        <w:ind w:firstLineChars="200" w:firstLine="640"/>
        <w:rPr>
          <w:rFonts w:ascii="仿宋" w:eastAsia="仿宋" w:hAnsi="仿宋"/>
          <w:sz w:val="32"/>
          <w:szCs w:val="32"/>
        </w:rPr>
      </w:pPr>
      <w:r>
        <w:rPr>
          <w:rFonts w:ascii="仿宋" w:eastAsia="仿宋" w:hAnsi="仿宋" w:hint="eastAsia"/>
          <w:sz w:val="32"/>
          <w:szCs w:val="32"/>
        </w:rPr>
        <w:t>面对新冠病毒疫情防控常态化，</w:t>
      </w:r>
      <w:r w:rsidR="0056150C" w:rsidRPr="00E32CDA">
        <w:rPr>
          <w:rFonts w:ascii="仿宋" w:eastAsia="仿宋" w:hAnsi="仿宋" w:hint="eastAsia"/>
          <w:sz w:val="32"/>
          <w:szCs w:val="32"/>
        </w:rPr>
        <w:t>各</w:t>
      </w:r>
      <w:r>
        <w:rPr>
          <w:rFonts w:ascii="仿宋" w:eastAsia="仿宋" w:hAnsi="仿宋" w:hint="eastAsia"/>
          <w:sz w:val="32"/>
          <w:szCs w:val="32"/>
        </w:rPr>
        <w:t>会员</w:t>
      </w:r>
      <w:r w:rsidR="0056150C" w:rsidRPr="00E32CDA">
        <w:rPr>
          <w:rFonts w:ascii="仿宋" w:eastAsia="仿宋" w:hAnsi="仿宋" w:hint="eastAsia"/>
          <w:sz w:val="32"/>
          <w:szCs w:val="32"/>
        </w:rPr>
        <w:t>公司应严格按照省、市政府和监管部门</w:t>
      </w:r>
      <w:r w:rsidR="00A76A55">
        <w:rPr>
          <w:rFonts w:ascii="仿宋" w:eastAsia="仿宋" w:hAnsi="仿宋" w:hint="eastAsia"/>
          <w:sz w:val="32"/>
          <w:szCs w:val="32"/>
        </w:rPr>
        <w:t>相关</w:t>
      </w:r>
      <w:r w:rsidR="0056150C" w:rsidRPr="00E32CDA">
        <w:rPr>
          <w:rFonts w:ascii="仿宋" w:eastAsia="仿宋" w:hAnsi="仿宋" w:hint="eastAsia"/>
          <w:sz w:val="32"/>
          <w:szCs w:val="32"/>
        </w:rPr>
        <w:t>要求执行，避免各种形式的人员聚集，对各职场做好消杀和防疫用品配备，各</w:t>
      </w:r>
      <w:r w:rsidR="00ED1BB3">
        <w:rPr>
          <w:rFonts w:ascii="仿宋" w:eastAsia="仿宋" w:hAnsi="仿宋" w:hint="eastAsia"/>
          <w:sz w:val="32"/>
          <w:szCs w:val="32"/>
        </w:rPr>
        <w:t>会员</w:t>
      </w:r>
      <w:r w:rsidR="0056150C" w:rsidRPr="00E32CDA">
        <w:rPr>
          <w:rFonts w:ascii="仿宋" w:eastAsia="仿宋" w:hAnsi="仿宋" w:hint="eastAsia"/>
          <w:sz w:val="32"/>
          <w:szCs w:val="32"/>
        </w:rPr>
        <w:t>公司应积</w:t>
      </w:r>
      <w:r w:rsidR="0056150C" w:rsidRPr="00E32CDA">
        <w:rPr>
          <w:rFonts w:ascii="仿宋" w:eastAsia="仿宋" w:hAnsi="仿宋" w:hint="eastAsia"/>
          <w:sz w:val="32"/>
          <w:szCs w:val="32"/>
        </w:rPr>
        <w:lastRenderedPageBreak/>
        <w:t>极探索和建立新的工作模式，做好日常</w:t>
      </w:r>
      <w:r w:rsidR="00603A39" w:rsidRPr="00E32CDA">
        <w:rPr>
          <w:rFonts w:ascii="仿宋" w:eastAsia="仿宋" w:hAnsi="仿宋" w:hint="eastAsia"/>
          <w:sz w:val="32"/>
          <w:szCs w:val="32"/>
        </w:rPr>
        <w:t>管理</w:t>
      </w:r>
      <w:r w:rsidR="0056150C" w:rsidRPr="00E32CDA">
        <w:rPr>
          <w:rFonts w:ascii="仿宋" w:eastAsia="仿宋" w:hAnsi="仿宋" w:hint="eastAsia"/>
          <w:sz w:val="32"/>
          <w:szCs w:val="32"/>
        </w:rPr>
        <w:t>，积极采用线上招聘、培训等方式，确保各项管理工作能够有序开展</w:t>
      </w:r>
      <w:r>
        <w:rPr>
          <w:rFonts w:ascii="仿宋" w:eastAsia="仿宋" w:hAnsi="仿宋" w:hint="eastAsia"/>
          <w:sz w:val="32"/>
          <w:szCs w:val="32"/>
        </w:rPr>
        <w:t>。</w:t>
      </w:r>
    </w:p>
    <w:p w:rsidR="001310C2" w:rsidRPr="001310C2" w:rsidRDefault="001310C2" w:rsidP="001310C2">
      <w:pPr>
        <w:pStyle w:val="a6"/>
        <w:spacing w:before="0" w:beforeAutospacing="0" w:after="0" w:afterAutospacing="0"/>
        <w:ind w:firstLineChars="200" w:firstLine="643"/>
        <w:rPr>
          <w:rFonts w:ascii="楷体" w:eastAsia="楷体" w:hAnsi="楷体"/>
          <w:b/>
          <w:sz w:val="32"/>
          <w:szCs w:val="32"/>
        </w:rPr>
      </w:pPr>
      <w:r w:rsidRPr="001310C2">
        <w:rPr>
          <w:rFonts w:ascii="楷体" w:eastAsia="楷体" w:hAnsi="楷体" w:hint="eastAsia"/>
          <w:b/>
          <w:sz w:val="32"/>
          <w:szCs w:val="32"/>
        </w:rPr>
        <w:t>（四）加强宣传，提升形象。</w:t>
      </w:r>
    </w:p>
    <w:p w:rsidR="00D341AA" w:rsidRPr="00D341AA" w:rsidRDefault="00F459F1" w:rsidP="00D341AA">
      <w:pPr>
        <w:pStyle w:val="a6"/>
        <w:spacing w:before="0" w:beforeAutospacing="0" w:after="0" w:afterAutospacing="0"/>
        <w:ind w:firstLineChars="200" w:firstLine="640"/>
        <w:rPr>
          <w:rFonts w:ascii="仿宋" w:eastAsia="仿宋" w:hAnsi="仿宋"/>
          <w:sz w:val="32"/>
          <w:szCs w:val="32"/>
        </w:rPr>
      </w:pPr>
      <w:r>
        <w:rPr>
          <w:rFonts w:ascii="仿宋" w:eastAsia="仿宋" w:hAnsi="仿宋" w:hint="eastAsia"/>
          <w:sz w:val="32"/>
          <w:szCs w:val="32"/>
        </w:rPr>
        <w:t>各会员公司要严格执行《丹东银保监分局办公室关于开展“金融服务回归初心 知识宣教赋能社会”活动的通知》（简称“四进入，全覆盖”活动）文件要求，提高责任意识，切实做好“四进入，全覆盖”活动的开局之年各项工作，</w:t>
      </w:r>
      <w:r w:rsidRPr="00F459F1">
        <w:rPr>
          <w:rFonts w:ascii="仿宋" w:eastAsia="仿宋" w:hAnsi="仿宋"/>
          <w:sz w:val="32"/>
          <w:szCs w:val="32"/>
        </w:rPr>
        <w:t>确保三年内实现辖内社区、乡村、校园、企业 的金融知识</w:t>
      </w:r>
      <w:proofErr w:type="gramStart"/>
      <w:r w:rsidRPr="00F459F1">
        <w:rPr>
          <w:rFonts w:ascii="仿宋" w:eastAsia="仿宋" w:hAnsi="仿宋"/>
          <w:sz w:val="32"/>
          <w:szCs w:val="32"/>
        </w:rPr>
        <w:t>宣教全</w:t>
      </w:r>
      <w:proofErr w:type="gramEnd"/>
      <w:r w:rsidRPr="00F459F1">
        <w:rPr>
          <w:rFonts w:ascii="仿宋" w:eastAsia="仿宋" w:hAnsi="仿宋"/>
          <w:sz w:val="32"/>
          <w:szCs w:val="32"/>
        </w:rPr>
        <w:t>覆盖</w:t>
      </w:r>
      <w:r>
        <w:rPr>
          <w:rFonts w:ascii="仿宋" w:eastAsia="仿宋" w:hAnsi="仿宋" w:hint="eastAsia"/>
          <w:sz w:val="32"/>
          <w:szCs w:val="32"/>
        </w:rPr>
        <w:t>；</w:t>
      </w:r>
      <w:r w:rsidR="002047F2">
        <w:rPr>
          <w:rFonts w:ascii="仿宋" w:eastAsia="仿宋" w:hAnsi="仿宋" w:hint="eastAsia"/>
          <w:sz w:val="32"/>
          <w:szCs w:val="32"/>
        </w:rPr>
        <w:t>抓好辽宁省保险销售从业人员“二十条”禁令宣导工作，深入推进我市行业清廉金融文化建设，</w:t>
      </w:r>
      <w:r w:rsidR="00E32CDA" w:rsidRPr="00E32CDA">
        <w:rPr>
          <w:rFonts w:ascii="仿宋" w:eastAsia="仿宋" w:hAnsi="仿宋" w:hint="eastAsia"/>
          <w:sz w:val="32"/>
          <w:szCs w:val="32"/>
        </w:rPr>
        <w:t>加强非法集资</w:t>
      </w:r>
      <w:r>
        <w:rPr>
          <w:rFonts w:ascii="仿宋" w:eastAsia="仿宋" w:hAnsi="仿宋" w:hint="eastAsia"/>
          <w:sz w:val="32"/>
          <w:szCs w:val="32"/>
        </w:rPr>
        <w:t>与非正常性满期给付与退保</w:t>
      </w:r>
      <w:r w:rsidR="00E32CDA" w:rsidRPr="00E32CDA">
        <w:rPr>
          <w:rFonts w:ascii="仿宋" w:eastAsia="仿宋" w:hAnsi="仿宋" w:hint="eastAsia"/>
          <w:sz w:val="32"/>
          <w:szCs w:val="32"/>
        </w:rPr>
        <w:t>风险防控力度、坚决纠正恶意挖角等违规行为，</w:t>
      </w:r>
      <w:r w:rsidR="00D341AA" w:rsidRPr="00D341AA">
        <w:rPr>
          <w:rFonts w:ascii="仿宋" w:eastAsia="仿宋" w:hAnsi="仿宋" w:cstheme="minorBidi" w:hint="eastAsia"/>
          <w:color w:val="000000" w:themeColor="text1"/>
          <w:kern w:val="24"/>
          <w:sz w:val="32"/>
          <w:szCs w:val="32"/>
        </w:rPr>
        <w:t>为尽快消除</w:t>
      </w:r>
      <w:r>
        <w:rPr>
          <w:rFonts w:ascii="仿宋" w:eastAsia="仿宋" w:hAnsi="仿宋" w:cstheme="minorBidi" w:hint="eastAsia"/>
          <w:color w:val="000000" w:themeColor="text1"/>
          <w:kern w:val="24"/>
          <w:sz w:val="32"/>
          <w:szCs w:val="32"/>
        </w:rPr>
        <w:t>新冠病毒</w:t>
      </w:r>
      <w:r w:rsidR="00D341AA" w:rsidRPr="00D341AA">
        <w:rPr>
          <w:rFonts w:ascii="仿宋" w:eastAsia="仿宋" w:hAnsi="仿宋" w:cstheme="minorBidi" w:hint="eastAsia"/>
          <w:color w:val="000000" w:themeColor="text1"/>
          <w:kern w:val="24"/>
          <w:sz w:val="32"/>
          <w:szCs w:val="32"/>
        </w:rPr>
        <w:t>疫情影响，恢复正常</w:t>
      </w:r>
      <w:r w:rsidR="00A76A55">
        <w:rPr>
          <w:rFonts w:ascii="仿宋" w:eastAsia="仿宋" w:hAnsi="仿宋" w:cstheme="minorBidi" w:hint="eastAsia"/>
          <w:color w:val="000000" w:themeColor="text1"/>
          <w:kern w:val="24"/>
          <w:sz w:val="32"/>
          <w:szCs w:val="32"/>
        </w:rPr>
        <w:t>的</w:t>
      </w:r>
      <w:r w:rsidR="00D341AA" w:rsidRPr="00D341AA">
        <w:rPr>
          <w:rFonts w:ascii="仿宋" w:eastAsia="仿宋" w:hAnsi="仿宋" w:cstheme="minorBidi" w:hint="eastAsia"/>
          <w:color w:val="000000" w:themeColor="text1"/>
          <w:kern w:val="24"/>
          <w:sz w:val="32"/>
          <w:szCs w:val="32"/>
        </w:rPr>
        <w:t>市场经营秩序做出应有的贡献！</w:t>
      </w:r>
    </w:p>
    <w:p w:rsidR="004248E6" w:rsidRPr="00CA539D" w:rsidRDefault="004248E6" w:rsidP="00D341AA">
      <w:pPr>
        <w:ind w:firstLineChars="300" w:firstLine="720"/>
        <w:rPr>
          <w:rFonts w:ascii="仿宋_GB2312" w:eastAsia="仿宋_GB2312" w:hAnsi="宋体"/>
          <w:sz w:val="24"/>
          <w:szCs w:val="24"/>
        </w:rPr>
      </w:pPr>
      <w:r w:rsidRPr="00CA539D">
        <w:rPr>
          <w:rFonts w:ascii="仿宋_GB2312" w:eastAsia="仿宋_GB2312" w:hAnsi="宋体" w:hint="eastAsia"/>
          <w:sz w:val="24"/>
          <w:szCs w:val="24"/>
        </w:rPr>
        <w:t>注：数据来源于各公司报送及辽宁省保险统计查询系统</w:t>
      </w:r>
    </w:p>
    <w:p w:rsidR="00B347CC" w:rsidRPr="004248E6" w:rsidRDefault="00B347CC">
      <w:pPr>
        <w:ind w:firstLineChars="200" w:firstLine="640"/>
        <w:rPr>
          <w:rFonts w:ascii="仿宋_GB2312" w:eastAsia="仿宋_GB2312" w:hAnsi="宋体"/>
          <w:sz w:val="32"/>
          <w:szCs w:val="32"/>
        </w:rPr>
      </w:pPr>
    </w:p>
    <w:sectPr w:rsidR="00B347CC" w:rsidRPr="004248E6">
      <w:headerReference w:type="default" r:id="rId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414" w:rsidRDefault="00F21414">
      <w:r>
        <w:separator/>
      </w:r>
    </w:p>
  </w:endnote>
  <w:endnote w:type="continuationSeparator" w:id="0">
    <w:p w:rsidR="00F21414" w:rsidRDefault="00F2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_GB2312">
    <w:altName w:val="Times New Roman"/>
    <w:panose1 w:val="00000000000000000000"/>
    <w:charset w:val="00"/>
    <w:family w:val="auto"/>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414" w:rsidRDefault="00F21414">
      <w:r>
        <w:separator/>
      </w:r>
    </w:p>
  </w:footnote>
  <w:footnote w:type="continuationSeparator" w:id="0">
    <w:p w:rsidR="00F21414" w:rsidRDefault="00F21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7CC" w:rsidRDefault="00B347CC">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B1B94"/>
    <w:rsid w:val="00001AE5"/>
    <w:rsid w:val="00002512"/>
    <w:rsid w:val="00003135"/>
    <w:rsid w:val="00003795"/>
    <w:rsid w:val="00004207"/>
    <w:rsid w:val="00004651"/>
    <w:rsid w:val="00005BF9"/>
    <w:rsid w:val="00006239"/>
    <w:rsid w:val="000077DA"/>
    <w:rsid w:val="00011064"/>
    <w:rsid w:val="000122B2"/>
    <w:rsid w:val="00012357"/>
    <w:rsid w:val="00012CE3"/>
    <w:rsid w:val="000134D1"/>
    <w:rsid w:val="000203D9"/>
    <w:rsid w:val="000212BE"/>
    <w:rsid w:val="000253ED"/>
    <w:rsid w:val="00025B49"/>
    <w:rsid w:val="00025F88"/>
    <w:rsid w:val="00030ED6"/>
    <w:rsid w:val="000312EE"/>
    <w:rsid w:val="00033212"/>
    <w:rsid w:val="00036D86"/>
    <w:rsid w:val="00037F4B"/>
    <w:rsid w:val="00041A57"/>
    <w:rsid w:val="000429DE"/>
    <w:rsid w:val="00042DD6"/>
    <w:rsid w:val="00044359"/>
    <w:rsid w:val="00045C61"/>
    <w:rsid w:val="0004787C"/>
    <w:rsid w:val="0005011F"/>
    <w:rsid w:val="000511AE"/>
    <w:rsid w:val="00053978"/>
    <w:rsid w:val="000543A2"/>
    <w:rsid w:val="000547D0"/>
    <w:rsid w:val="00054B92"/>
    <w:rsid w:val="00054F59"/>
    <w:rsid w:val="00057169"/>
    <w:rsid w:val="00061B57"/>
    <w:rsid w:val="00064AFC"/>
    <w:rsid w:val="00072880"/>
    <w:rsid w:val="0007581F"/>
    <w:rsid w:val="00082B3E"/>
    <w:rsid w:val="000832FB"/>
    <w:rsid w:val="00084DA1"/>
    <w:rsid w:val="00085117"/>
    <w:rsid w:val="00086072"/>
    <w:rsid w:val="00086512"/>
    <w:rsid w:val="000871D0"/>
    <w:rsid w:val="000945ED"/>
    <w:rsid w:val="00094AF4"/>
    <w:rsid w:val="00095DA6"/>
    <w:rsid w:val="00096111"/>
    <w:rsid w:val="000A1767"/>
    <w:rsid w:val="000A17AC"/>
    <w:rsid w:val="000A5AD8"/>
    <w:rsid w:val="000A5B53"/>
    <w:rsid w:val="000B2860"/>
    <w:rsid w:val="000B461B"/>
    <w:rsid w:val="000B5273"/>
    <w:rsid w:val="000B7BDB"/>
    <w:rsid w:val="000C0852"/>
    <w:rsid w:val="000C2B61"/>
    <w:rsid w:val="000C53FB"/>
    <w:rsid w:val="000C6408"/>
    <w:rsid w:val="000D0E52"/>
    <w:rsid w:val="000D1301"/>
    <w:rsid w:val="000D2860"/>
    <w:rsid w:val="000D44E7"/>
    <w:rsid w:val="000E1BE5"/>
    <w:rsid w:val="000E4BCC"/>
    <w:rsid w:val="000E5201"/>
    <w:rsid w:val="000E7CF9"/>
    <w:rsid w:val="000F01B6"/>
    <w:rsid w:val="000F31C7"/>
    <w:rsid w:val="000F3F07"/>
    <w:rsid w:val="00100640"/>
    <w:rsid w:val="001024F4"/>
    <w:rsid w:val="00103F8F"/>
    <w:rsid w:val="00104091"/>
    <w:rsid w:val="00104DB6"/>
    <w:rsid w:val="001065D5"/>
    <w:rsid w:val="001072B8"/>
    <w:rsid w:val="00110EBE"/>
    <w:rsid w:val="001128C8"/>
    <w:rsid w:val="00113041"/>
    <w:rsid w:val="00113299"/>
    <w:rsid w:val="00116A75"/>
    <w:rsid w:val="0012070C"/>
    <w:rsid w:val="00120D93"/>
    <w:rsid w:val="00127B6D"/>
    <w:rsid w:val="001302FA"/>
    <w:rsid w:val="001310C2"/>
    <w:rsid w:val="00131592"/>
    <w:rsid w:val="001379AA"/>
    <w:rsid w:val="00141FE9"/>
    <w:rsid w:val="00142DCF"/>
    <w:rsid w:val="00142FA7"/>
    <w:rsid w:val="00145C1F"/>
    <w:rsid w:val="00145C6E"/>
    <w:rsid w:val="00145EE4"/>
    <w:rsid w:val="0014657A"/>
    <w:rsid w:val="0015024D"/>
    <w:rsid w:val="00153B9D"/>
    <w:rsid w:val="001608FF"/>
    <w:rsid w:val="00163387"/>
    <w:rsid w:val="0016691C"/>
    <w:rsid w:val="00166CAB"/>
    <w:rsid w:val="00167550"/>
    <w:rsid w:val="0017390D"/>
    <w:rsid w:val="00175B79"/>
    <w:rsid w:val="00180F85"/>
    <w:rsid w:val="00181EC5"/>
    <w:rsid w:val="00184D8C"/>
    <w:rsid w:val="0018516F"/>
    <w:rsid w:val="001878D2"/>
    <w:rsid w:val="00190EB4"/>
    <w:rsid w:val="00193DAD"/>
    <w:rsid w:val="001A09AB"/>
    <w:rsid w:val="001A1B5A"/>
    <w:rsid w:val="001A2485"/>
    <w:rsid w:val="001A33E5"/>
    <w:rsid w:val="001A6CAA"/>
    <w:rsid w:val="001A76BD"/>
    <w:rsid w:val="001A7F65"/>
    <w:rsid w:val="001B18C3"/>
    <w:rsid w:val="001B55B4"/>
    <w:rsid w:val="001B626A"/>
    <w:rsid w:val="001C2C31"/>
    <w:rsid w:val="001C38F8"/>
    <w:rsid w:val="001C3AF4"/>
    <w:rsid w:val="001C455E"/>
    <w:rsid w:val="001C6162"/>
    <w:rsid w:val="001C6DE5"/>
    <w:rsid w:val="001C70DE"/>
    <w:rsid w:val="001D06DF"/>
    <w:rsid w:val="001D166E"/>
    <w:rsid w:val="001D2490"/>
    <w:rsid w:val="001D2D3B"/>
    <w:rsid w:val="001D32D7"/>
    <w:rsid w:val="001D4B0E"/>
    <w:rsid w:val="001D52BA"/>
    <w:rsid w:val="001D56BD"/>
    <w:rsid w:val="001D579A"/>
    <w:rsid w:val="001E23D7"/>
    <w:rsid w:val="001E3BB6"/>
    <w:rsid w:val="001E413A"/>
    <w:rsid w:val="001E49FC"/>
    <w:rsid w:val="001E62FA"/>
    <w:rsid w:val="001E6368"/>
    <w:rsid w:val="001F38A6"/>
    <w:rsid w:val="001F45B5"/>
    <w:rsid w:val="00201DEA"/>
    <w:rsid w:val="00202509"/>
    <w:rsid w:val="002035B3"/>
    <w:rsid w:val="0020365C"/>
    <w:rsid w:val="002047F2"/>
    <w:rsid w:val="002053A1"/>
    <w:rsid w:val="0020554E"/>
    <w:rsid w:val="0020626F"/>
    <w:rsid w:val="00216A88"/>
    <w:rsid w:val="00216F54"/>
    <w:rsid w:val="00217189"/>
    <w:rsid w:val="00221138"/>
    <w:rsid w:val="002228A4"/>
    <w:rsid w:val="002231AD"/>
    <w:rsid w:val="0022757E"/>
    <w:rsid w:val="00227627"/>
    <w:rsid w:val="00231C85"/>
    <w:rsid w:val="00241C40"/>
    <w:rsid w:val="00241E10"/>
    <w:rsid w:val="0024267A"/>
    <w:rsid w:val="00242B7B"/>
    <w:rsid w:val="00243E82"/>
    <w:rsid w:val="00244280"/>
    <w:rsid w:val="00245CBA"/>
    <w:rsid w:val="00252BFF"/>
    <w:rsid w:val="00257F4C"/>
    <w:rsid w:val="002623C5"/>
    <w:rsid w:val="002636AB"/>
    <w:rsid w:val="00264077"/>
    <w:rsid w:val="002649A1"/>
    <w:rsid w:val="00267DF4"/>
    <w:rsid w:val="002706CC"/>
    <w:rsid w:val="00271135"/>
    <w:rsid w:val="002715EA"/>
    <w:rsid w:val="00272880"/>
    <w:rsid w:val="00275A61"/>
    <w:rsid w:val="002765DA"/>
    <w:rsid w:val="00276F14"/>
    <w:rsid w:val="00277A87"/>
    <w:rsid w:val="00277CF1"/>
    <w:rsid w:val="0028045F"/>
    <w:rsid w:val="00280BBD"/>
    <w:rsid w:val="00280C97"/>
    <w:rsid w:val="002827DA"/>
    <w:rsid w:val="00283EE3"/>
    <w:rsid w:val="00285E5C"/>
    <w:rsid w:val="0029122E"/>
    <w:rsid w:val="0029220F"/>
    <w:rsid w:val="00295CCE"/>
    <w:rsid w:val="00297C3B"/>
    <w:rsid w:val="00297E29"/>
    <w:rsid w:val="002A0350"/>
    <w:rsid w:val="002A1525"/>
    <w:rsid w:val="002A158F"/>
    <w:rsid w:val="002A279A"/>
    <w:rsid w:val="002A3A1D"/>
    <w:rsid w:val="002A560D"/>
    <w:rsid w:val="002B5817"/>
    <w:rsid w:val="002B7041"/>
    <w:rsid w:val="002C11EC"/>
    <w:rsid w:val="002C21F9"/>
    <w:rsid w:val="002C58CA"/>
    <w:rsid w:val="002D49FE"/>
    <w:rsid w:val="002D628A"/>
    <w:rsid w:val="002D738E"/>
    <w:rsid w:val="002E1664"/>
    <w:rsid w:val="002E2C7D"/>
    <w:rsid w:val="002E2F69"/>
    <w:rsid w:val="002E6EBF"/>
    <w:rsid w:val="002E7502"/>
    <w:rsid w:val="002F33CE"/>
    <w:rsid w:val="002F41B1"/>
    <w:rsid w:val="002F7F9F"/>
    <w:rsid w:val="003008E1"/>
    <w:rsid w:val="003009D4"/>
    <w:rsid w:val="00300DC8"/>
    <w:rsid w:val="0030186F"/>
    <w:rsid w:val="003029C2"/>
    <w:rsid w:val="003035F7"/>
    <w:rsid w:val="003040CA"/>
    <w:rsid w:val="003062AE"/>
    <w:rsid w:val="00307623"/>
    <w:rsid w:val="003078CE"/>
    <w:rsid w:val="0031053B"/>
    <w:rsid w:val="00312280"/>
    <w:rsid w:val="003148E3"/>
    <w:rsid w:val="00315494"/>
    <w:rsid w:val="00316318"/>
    <w:rsid w:val="00317264"/>
    <w:rsid w:val="00323DC9"/>
    <w:rsid w:val="00325670"/>
    <w:rsid w:val="0032641D"/>
    <w:rsid w:val="00333214"/>
    <w:rsid w:val="003340D0"/>
    <w:rsid w:val="00334D1D"/>
    <w:rsid w:val="00337731"/>
    <w:rsid w:val="00337CD4"/>
    <w:rsid w:val="00340805"/>
    <w:rsid w:val="003448A6"/>
    <w:rsid w:val="00344D98"/>
    <w:rsid w:val="00344DA8"/>
    <w:rsid w:val="00347665"/>
    <w:rsid w:val="0035039D"/>
    <w:rsid w:val="00350517"/>
    <w:rsid w:val="00354F5E"/>
    <w:rsid w:val="0035606A"/>
    <w:rsid w:val="00360EBE"/>
    <w:rsid w:val="00360F1E"/>
    <w:rsid w:val="00361ADF"/>
    <w:rsid w:val="0036462B"/>
    <w:rsid w:val="00366613"/>
    <w:rsid w:val="003708F1"/>
    <w:rsid w:val="00370EBF"/>
    <w:rsid w:val="0037344B"/>
    <w:rsid w:val="003747A4"/>
    <w:rsid w:val="00374D69"/>
    <w:rsid w:val="00375233"/>
    <w:rsid w:val="00377FB3"/>
    <w:rsid w:val="00382AB2"/>
    <w:rsid w:val="00383810"/>
    <w:rsid w:val="003842D3"/>
    <w:rsid w:val="00384BAF"/>
    <w:rsid w:val="00384FDC"/>
    <w:rsid w:val="003914AC"/>
    <w:rsid w:val="003923E4"/>
    <w:rsid w:val="0039598E"/>
    <w:rsid w:val="0039683A"/>
    <w:rsid w:val="00396D10"/>
    <w:rsid w:val="003A021F"/>
    <w:rsid w:val="003A0405"/>
    <w:rsid w:val="003A05E0"/>
    <w:rsid w:val="003A12D7"/>
    <w:rsid w:val="003A3BBF"/>
    <w:rsid w:val="003B129A"/>
    <w:rsid w:val="003B2953"/>
    <w:rsid w:val="003B42C7"/>
    <w:rsid w:val="003B5168"/>
    <w:rsid w:val="003C0458"/>
    <w:rsid w:val="003C2592"/>
    <w:rsid w:val="003C2EAC"/>
    <w:rsid w:val="003C4288"/>
    <w:rsid w:val="003C795F"/>
    <w:rsid w:val="003C7CF7"/>
    <w:rsid w:val="003C7E6D"/>
    <w:rsid w:val="003D120F"/>
    <w:rsid w:val="003D18EE"/>
    <w:rsid w:val="003D4D4E"/>
    <w:rsid w:val="003D5647"/>
    <w:rsid w:val="003D6932"/>
    <w:rsid w:val="003D7C2A"/>
    <w:rsid w:val="003E3CC4"/>
    <w:rsid w:val="003E4DBB"/>
    <w:rsid w:val="003F1A1A"/>
    <w:rsid w:val="003F1F78"/>
    <w:rsid w:val="003F3A34"/>
    <w:rsid w:val="003F4A07"/>
    <w:rsid w:val="003F594F"/>
    <w:rsid w:val="003F7AF1"/>
    <w:rsid w:val="003F7D86"/>
    <w:rsid w:val="0040052E"/>
    <w:rsid w:val="00406435"/>
    <w:rsid w:val="00410165"/>
    <w:rsid w:val="004107CE"/>
    <w:rsid w:val="00411518"/>
    <w:rsid w:val="004141B6"/>
    <w:rsid w:val="004143C7"/>
    <w:rsid w:val="00415131"/>
    <w:rsid w:val="004163C0"/>
    <w:rsid w:val="004169D3"/>
    <w:rsid w:val="00416D9D"/>
    <w:rsid w:val="004178A3"/>
    <w:rsid w:val="00420347"/>
    <w:rsid w:val="00421491"/>
    <w:rsid w:val="004248E6"/>
    <w:rsid w:val="00424B96"/>
    <w:rsid w:val="00426D22"/>
    <w:rsid w:val="00426F28"/>
    <w:rsid w:val="00426FFF"/>
    <w:rsid w:val="004279AA"/>
    <w:rsid w:val="00427A04"/>
    <w:rsid w:val="004312D3"/>
    <w:rsid w:val="00432CB5"/>
    <w:rsid w:val="004358C8"/>
    <w:rsid w:val="0044133C"/>
    <w:rsid w:val="00443011"/>
    <w:rsid w:val="00444FB2"/>
    <w:rsid w:val="00446F6E"/>
    <w:rsid w:val="0045013E"/>
    <w:rsid w:val="00451955"/>
    <w:rsid w:val="004524F5"/>
    <w:rsid w:val="00456B85"/>
    <w:rsid w:val="00463CDD"/>
    <w:rsid w:val="0046528E"/>
    <w:rsid w:val="0046617F"/>
    <w:rsid w:val="0046681A"/>
    <w:rsid w:val="004669AA"/>
    <w:rsid w:val="00467466"/>
    <w:rsid w:val="0046759F"/>
    <w:rsid w:val="00467CDB"/>
    <w:rsid w:val="0047119A"/>
    <w:rsid w:val="00477786"/>
    <w:rsid w:val="00477FC1"/>
    <w:rsid w:val="00481D92"/>
    <w:rsid w:val="004828C5"/>
    <w:rsid w:val="00483006"/>
    <w:rsid w:val="00484796"/>
    <w:rsid w:val="00485086"/>
    <w:rsid w:val="00486E39"/>
    <w:rsid w:val="004875F2"/>
    <w:rsid w:val="004879D3"/>
    <w:rsid w:val="0049048C"/>
    <w:rsid w:val="00494BB5"/>
    <w:rsid w:val="00495CA8"/>
    <w:rsid w:val="00497853"/>
    <w:rsid w:val="004A05A3"/>
    <w:rsid w:val="004A206C"/>
    <w:rsid w:val="004A3CF8"/>
    <w:rsid w:val="004A3EA1"/>
    <w:rsid w:val="004A4C41"/>
    <w:rsid w:val="004A5F1A"/>
    <w:rsid w:val="004A61D8"/>
    <w:rsid w:val="004A6C7C"/>
    <w:rsid w:val="004B036C"/>
    <w:rsid w:val="004B0475"/>
    <w:rsid w:val="004B46F4"/>
    <w:rsid w:val="004B5A8D"/>
    <w:rsid w:val="004B65C4"/>
    <w:rsid w:val="004B677B"/>
    <w:rsid w:val="004C4DF5"/>
    <w:rsid w:val="004C7BB7"/>
    <w:rsid w:val="004D2990"/>
    <w:rsid w:val="004D3BC9"/>
    <w:rsid w:val="004D460A"/>
    <w:rsid w:val="004E0EC0"/>
    <w:rsid w:val="004E1F13"/>
    <w:rsid w:val="004E2163"/>
    <w:rsid w:val="004E37BC"/>
    <w:rsid w:val="004E3FDB"/>
    <w:rsid w:val="004F01CB"/>
    <w:rsid w:val="004F2B7E"/>
    <w:rsid w:val="004F68FD"/>
    <w:rsid w:val="004F7537"/>
    <w:rsid w:val="00504F26"/>
    <w:rsid w:val="00507303"/>
    <w:rsid w:val="00511F81"/>
    <w:rsid w:val="00514165"/>
    <w:rsid w:val="00517924"/>
    <w:rsid w:val="005208F1"/>
    <w:rsid w:val="00520EBB"/>
    <w:rsid w:val="00524B50"/>
    <w:rsid w:val="005262E4"/>
    <w:rsid w:val="00526AE5"/>
    <w:rsid w:val="00531DF7"/>
    <w:rsid w:val="0054382A"/>
    <w:rsid w:val="005442BE"/>
    <w:rsid w:val="00545DF7"/>
    <w:rsid w:val="00545FA8"/>
    <w:rsid w:val="0054677C"/>
    <w:rsid w:val="005479F3"/>
    <w:rsid w:val="00551D92"/>
    <w:rsid w:val="005572D4"/>
    <w:rsid w:val="00557362"/>
    <w:rsid w:val="005600A1"/>
    <w:rsid w:val="0056150C"/>
    <w:rsid w:val="00565A31"/>
    <w:rsid w:val="0056716F"/>
    <w:rsid w:val="00577327"/>
    <w:rsid w:val="005776B6"/>
    <w:rsid w:val="00581710"/>
    <w:rsid w:val="005818A1"/>
    <w:rsid w:val="00582409"/>
    <w:rsid w:val="0058245D"/>
    <w:rsid w:val="00583488"/>
    <w:rsid w:val="005847A1"/>
    <w:rsid w:val="005853F4"/>
    <w:rsid w:val="00586011"/>
    <w:rsid w:val="00586E47"/>
    <w:rsid w:val="005907E2"/>
    <w:rsid w:val="005917F3"/>
    <w:rsid w:val="00594F4A"/>
    <w:rsid w:val="00594FC8"/>
    <w:rsid w:val="00596904"/>
    <w:rsid w:val="005A0A73"/>
    <w:rsid w:val="005A5A86"/>
    <w:rsid w:val="005A62DC"/>
    <w:rsid w:val="005A6396"/>
    <w:rsid w:val="005A7F78"/>
    <w:rsid w:val="005B6A79"/>
    <w:rsid w:val="005B72B8"/>
    <w:rsid w:val="005C358F"/>
    <w:rsid w:val="005C437A"/>
    <w:rsid w:val="005D0A7C"/>
    <w:rsid w:val="005D0F81"/>
    <w:rsid w:val="005D28DF"/>
    <w:rsid w:val="005D4882"/>
    <w:rsid w:val="005D6674"/>
    <w:rsid w:val="005E016E"/>
    <w:rsid w:val="005E23F1"/>
    <w:rsid w:val="005E3D0D"/>
    <w:rsid w:val="005E41AB"/>
    <w:rsid w:val="005E473C"/>
    <w:rsid w:val="005E4741"/>
    <w:rsid w:val="005E6DB3"/>
    <w:rsid w:val="005E7B8A"/>
    <w:rsid w:val="005E7C75"/>
    <w:rsid w:val="005E7D9F"/>
    <w:rsid w:val="005F0051"/>
    <w:rsid w:val="005F0AA1"/>
    <w:rsid w:val="005F1C02"/>
    <w:rsid w:val="005F25A9"/>
    <w:rsid w:val="005F32C7"/>
    <w:rsid w:val="005F37C4"/>
    <w:rsid w:val="005F3CEE"/>
    <w:rsid w:val="005F3D77"/>
    <w:rsid w:val="005F46B6"/>
    <w:rsid w:val="005F4C8A"/>
    <w:rsid w:val="005F519B"/>
    <w:rsid w:val="006000F7"/>
    <w:rsid w:val="00600CC9"/>
    <w:rsid w:val="00601E15"/>
    <w:rsid w:val="00603A39"/>
    <w:rsid w:val="00604205"/>
    <w:rsid w:val="00604426"/>
    <w:rsid w:val="00604F70"/>
    <w:rsid w:val="00607688"/>
    <w:rsid w:val="00610C60"/>
    <w:rsid w:val="00610D62"/>
    <w:rsid w:val="00613763"/>
    <w:rsid w:val="00613B2E"/>
    <w:rsid w:val="00614136"/>
    <w:rsid w:val="00616366"/>
    <w:rsid w:val="006172A0"/>
    <w:rsid w:val="00617D97"/>
    <w:rsid w:val="00621AB3"/>
    <w:rsid w:val="00623247"/>
    <w:rsid w:val="00624F6F"/>
    <w:rsid w:val="006308AD"/>
    <w:rsid w:val="00635368"/>
    <w:rsid w:val="006355F4"/>
    <w:rsid w:val="00636059"/>
    <w:rsid w:val="00637720"/>
    <w:rsid w:val="00640678"/>
    <w:rsid w:val="00640C66"/>
    <w:rsid w:val="006410C9"/>
    <w:rsid w:val="006411D1"/>
    <w:rsid w:val="006430EE"/>
    <w:rsid w:val="00644932"/>
    <w:rsid w:val="0064703A"/>
    <w:rsid w:val="00647A78"/>
    <w:rsid w:val="00655666"/>
    <w:rsid w:val="00655EB4"/>
    <w:rsid w:val="00656C23"/>
    <w:rsid w:val="0066082C"/>
    <w:rsid w:val="0066154F"/>
    <w:rsid w:val="00662A3A"/>
    <w:rsid w:val="00662C9B"/>
    <w:rsid w:val="00664B4A"/>
    <w:rsid w:val="006656DC"/>
    <w:rsid w:val="00665C4B"/>
    <w:rsid w:val="00667330"/>
    <w:rsid w:val="006718DA"/>
    <w:rsid w:val="00671DF0"/>
    <w:rsid w:val="00675001"/>
    <w:rsid w:val="00676C73"/>
    <w:rsid w:val="00677346"/>
    <w:rsid w:val="00681C25"/>
    <w:rsid w:val="006836A5"/>
    <w:rsid w:val="00684C64"/>
    <w:rsid w:val="0068550C"/>
    <w:rsid w:val="00686FC8"/>
    <w:rsid w:val="006908DE"/>
    <w:rsid w:val="006917B0"/>
    <w:rsid w:val="006919B1"/>
    <w:rsid w:val="00691CFE"/>
    <w:rsid w:val="00694F50"/>
    <w:rsid w:val="00696D1E"/>
    <w:rsid w:val="006977F7"/>
    <w:rsid w:val="00697C71"/>
    <w:rsid w:val="006A435D"/>
    <w:rsid w:val="006A7144"/>
    <w:rsid w:val="006B1E81"/>
    <w:rsid w:val="006B4992"/>
    <w:rsid w:val="006B514F"/>
    <w:rsid w:val="006B5A5B"/>
    <w:rsid w:val="006B6486"/>
    <w:rsid w:val="006C3DDA"/>
    <w:rsid w:val="006C7AD8"/>
    <w:rsid w:val="006D5F07"/>
    <w:rsid w:val="006D70BB"/>
    <w:rsid w:val="006D72F0"/>
    <w:rsid w:val="006E4D14"/>
    <w:rsid w:val="006E642E"/>
    <w:rsid w:val="006E7D67"/>
    <w:rsid w:val="006F6900"/>
    <w:rsid w:val="00701776"/>
    <w:rsid w:val="00702520"/>
    <w:rsid w:val="00702B8B"/>
    <w:rsid w:val="00703533"/>
    <w:rsid w:val="00703D35"/>
    <w:rsid w:val="00704DCC"/>
    <w:rsid w:val="00706089"/>
    <w:rsid w:val="007069FD"/>
    <w:rsid w:val="007113FE"/>
    <w:rsid w:val="00712BDB"/>
    <w:rsid w:val="0071376C"/>
    <w:rsid w:val="00716E9C"/>
    <w:rsid w:val="00717B2B"/>
    <w:rsid w:val="007314F3"/>
    <w:rsid w:val="0073222C"/>
    <w:rsid w:val="0073295B"/>
    <w:rsid w:val="00732F61"/>
    <w:rsid w:val="007354C7"/>
    <w:rsid w:val="007368BC"/>
    <w:rsid w:val="00736E79"/>
    <w:rsid w:val="00737CF5"/>
    <w:rsid w:val="00740F35"/>
    <w:rsid w:val="007419F6"/>
    <w:rsid w:val="00741D7C"/>
    <w:rsid w:val="00742D06"/>
    <w:rsid w:val="00743451"/>
    <w:rsid w:val="007461FC"/>
    <w:rsid w:val="007564D3"/>
    <w:rsid w:val="007614C9"/>
    <w:rsid w:val="00762350"/>
    <w:rsid w:val="00762474"/>
    <w:rsid w:val="007654CC"/>
    <w:rsid w:val="00766477"/>
    <w:rsid w:val="00766F1A"/>
    <w:rsid w:val="00767366"/>
    <w:rsid w:val="00767BDD"/>
    <w:rsid w:val="00770249"/>
    <w:rsid w:val="0077052D"/>
    <w:rsid w:val="00770CCA"/>
    <w:rsid w:val="00773AF8"/>
    <w:rsid w:val="007756F8"/>
    <w:rsid w:val="00775EA8"/>
    <w:rsid w:val="007760D0"/>
    <w:rsid w:val="00777456"/>
    <w:rsid w:val="007816E3"/>
    <w:rsid w:val="0078405F"/>
    <w:rsid w:val="00784CC5"/>
    <w:rsid w:val="007873DD"/>
    <w:rsid w:val="00790F97"/>
    <w:rsid w:val="0079129B"/>
    <w:rsid w:val="00791ADE"/>
    <w:rsid w:val="00793DDE"/>
    <w:rsid w:val="00795A93"/>
    <w:rsid w:val="0079674F"/>
    <w:rsid w:val="007967CB"/>
    <w:rsid w:val="007978B6"/>
    <w:rsid w:val="007A41B2"/>
    <w:rsid w:val="007A6069"/>
    <w:rsid w:val="007A780D"/>
    <w:rsid w:val="007A7E0C"/>
    <w:rsid w:val="007B0586"/>
    <w:rsid w:val="007B17FA"/>
    <w:rsid w:val="007B3F8F"/>
    <w:rsid w:val="007B4392"/>
    <w:rsid w:val="007B63FB"/>
    <w:rsid w:val="007B6E41"/>
    <w:rsid w:val="007C0DF1"/>
    <w:rsid w:val="007C2E4B"/>
    <w:rsid w:val="007C4AEF"/>
    <w:rsid w:val="007C5990"/>
    <w:rsid w:val="007D223F"/>
    <w:rsid w:val="007D38FC"/>
    <w:rsid w:val="007D3DF3"/>
    <w:rsid w:val="007E0985"/>
    <w:rsid w:val="007E0B05"/>
    <w:rsid w:val="007E53D5"/>
    <w:rsid w:val="007F1866"/>
    <w:rsid w:val="007F4151"/>
    <w:rsid w:val="007F56D7"/>
    <w:rsid w:val="00816677"/>
    <w:rsid w:val="00822F93"/>
    <w:rsid w:val="00823D0F"/>
    <w:rsid w:val="00824307"/>
    <w:rsid w:val="0082534C"/>
    <w:rsid w:val="008254E2"/>
    <w:rsid w:val="00825F0D"/>
    <w:rsid w:val="0083018E"/>
    <w:rsid w:val="00833A85"/>
    <w:rsid w:val="00835BD3"/>
    <w:rsid w:val="0083613C"/>
    <w:rsid w:val="00837B1F"/>
    <w:rsid w:val="00840AF9"/>
    <w:rsid w:val="00841D5F"/>
    <w:rsid w:val="008423AC"/>
    <w:rsid w:val="00843B56"/>
    <w:rsid w:val="0084490D"/>
    <w:rsid w:val="0084536E"/>
    <w:rsid w:val="00845AAA"/>
    <w:rsid w:val="0084781B"/>
    <w:rsid w:val="008521DC"/>
    <w:rsid w:val="00853719"/>
    <w:rsid w:val="00853DA5"/>
    <w:rsid w:val="008560AD"/>
    <w:rsid w:val="008572BE"/>
    <w:rsid w:val="00863379"/>
    <w:rsid w:val="00863E6F"/>
    <w:rsid w:val="008649B9"/>
    <w:rsid w:val="00866C09"/>
    <w:rsid w:val="008679EC"/>
    <w:rsid w:val="00874903"/>
    <w:rsid w:val="00877925"/>
    <w:rsid w:val="0088399E"/>
    <w:rsid w:val="008850CD"/>
    <w:rsid w:val="00885F7F"/>
    <w:rsid w:val="00887F8D"/>
    <w:rsid w:val="00890C62"/>
    <w:rsid w:val="0089169E"/>
    <w:rsid w:val="00893D43"/>
    <w:rsid w:val="00893F95"/>
    <w:rsid w:val="008953DE"/>
    <w:rsid w:val="00895683"/>
    <w:rsid w:val="00896124"/>
    <w:rsid w:val="00897594"/>
    <w:rsid w:val="008978A1"/>
    <w:rsid w:val="008A10B9"/>
    <w:rsid w:val="008A7383"/>
    <w:rsid w:val="008A7DDB"/>
    <w:rsid w:val="008A7F65"/>
    <w:rsid w:val="008B0BAE"/>
    <w:rsid w:val="008B1077"/>
    <w:rsid w:val="008B1B94"/>
    <w:rsid w:val="008B28E0"/>
    <w:rsid w:val="008B2D48"/>
    <w:rsid w:val="008B401F"/>
    <w:rsid w:val="008B4094"/>
    <w:rsid w:val="008B69A4"/>
    <w:rsid w:val="008C098A"/>
    <w:rsid w:val="008C3828"/>
    <w:rsid w:val="008C4E10"/>
    <w:rsid w:val="008C7837"/>
    <w:rsid w:val="008C7FD2"/>
    <w:rsid w:val="008D5060"/>
    <w:rsid w:val="008D7925"/>
    <w:rsid w:val="008D7E5C"/>
    <w:rsid w:val="008D7EA5"/>
    <w:rsid w:val="008E05A2"/>
    <w:rsid w:val="008E1E58"/>
    <w:rsid w:val="008E28E3"/>
    <w:rsid w:val="008E5149"/>
    <w:rsid w:val="008E5376"/>
    <w:rsid w:val="008E5733"/>
    <w:rsid w:val="008E6145"/>
    <w:rsid w:val="008E646B"/>
    <w:rsid w:val="008F01C3"/>
    <w:rsid w:val="008F2430"/>
    <w:rsid w:val="008F2F6F"/>
    <w:rsid w:val="008F7553"/>
    <w:rsid w:val="009027B8"/>
    <w:rsid w:val="009038D2"/>
    <w:rsid w:val="00903DEB"/>
    <w:rsid w:val="00903F86"/>
    <w:rsid w:val="00906ADD"/>
    <w:rsid w:val="00907B4E"/>
    <w:rsid w:val="00910C7B"/>
    <w:rsid w:val="009113F5"/>
    <w:rsid w:val="009131B3"/>
    <w:rsid w:val="00914A38"/>
    <w:rsid w:val="00916A23"/>
    <w:rsid w:val="0091716E"/>
    <w:rsid w:val="0091721A"/>
    <w:rsid w:val="009201A4"/>
    <w:rsid w:val="00922C52"/>
    <w:rsid w:val="009260DA"/>
    <w:rsid w:val="00926144"/>
    <w:rsid w:val="00926A39"/>
    <w:rsid w:val="0092708A"/>
    <w:rsid w:val="00930039"/>
    <w:rsid w:val="0093191C"/>
    <w:rsid w:val="00933C1A"/>
    <w:rsid w:val="00936399"/>
    <w:rsid w:val="00942C05"/>
    <w:rsid w:val="00946A51"/>
    <w:rsid w:val="0094789E"/>
    <w:rsid w:val="00951F89"/>
    <w:rsid w:val="0095243E"/>
    <w:rsid w:val="009537AA"/>
    <w:rsid w:val="009544C1"/>
    <w:rsid w:val="009546C4"/>
    <w:rsid w:val="00955534"/>
    <w:rsid w:val="009562CD"/>
    <w:rsid w:val="00960BB3"/>
    <w:rsid w:val="00961719"/>
    <w:rsid w:val="00961C8D"/>
    <w:rsid w:val="00961D0B"/>
    <w:rsid w:val="00964A12"/>
    <w:rsid w:val="00965D57"/>
    <w:rsid w:val="00966977"/>
    <w:rsid w:val="00970D37"/>
    <w:rsid w:val="00970E22"/>
    <w:rsid w:val="0097301A"/>
    <w:rsid w:val="00983268"/>
    <w:rsid w:val="00984605"/>
    <w:rsid w:val="00985CD2"/>
    <w:rsid w:val="00987DD8"/>
    <w:rsid w:val="009900D3"/>
    <w:rsid w:val="00990D76"/>
    <w:rsid w:val="0099121E"/>
    <w:rsid w:val="009968FC"/>
    <w:rsid w:val="009A3C77"/>
    <w:rsid w:val="009A3E0C"/>
    <w:rsid w:val="009B0381"/>
    <w:rsid w:val="009B0A2A"/>
    <w:rsid w:val="009B0B02"/>
    <w:rsid w:val="009B0F51"/>
    <w:rsid w:val="009B2915"/>
    <w:rsid w:val="009B31CE"/>
    <w:rsid w:val="009B52BC"/>
    <w:rsid w:val="009C119E"/>
    <w:rsid w:val="009C1827"/>
    <w:rsid w:val="009C2BFF"/>
    <w:rsid w:val="009C4569"/>
    <w:rsid w:val="009C6114"/>
    <w:rsid w:val="009C61D8"/>
    <w:rsid w:val="009D1571"/>
    <w:rsid w:val="009D3BC8"/>
    <w:rsid w:val="009D5E1F"/>
    <w:rsid w:val="009D78AC"/>
    <w:rsid w:val="009E1274"/>
    <w:rsid w:val="009E2602"/>
    <w:rsid w:val="009E2FB2"/>
    <w:rsid w:val="009E300D"/>
    <w:rsid w:val="009E3C24"/>
    <w:rsid w:val="009E3F92"/>
    <w:rsid w:val="009E5853"/>
    <w:rsid w:val="009E7013"/>
    <w:rsid w:val="009E7254"/>
    <w:rsid w:val="009F0227"/>
    <w:rsid w:val="009F214E"/>
    <w:rsid w:val="009F4B68"/>
    <w:rsid w:val="009F502D"/>
    <w:rsid w:val="00A0024C"/>
    <w:rsid w:val="00A009FC"/>
    <w:rsid w:val="00A01012"/>
    <w:rsid w:val="00A01B40"/>
    <w:rsid w:val="00A0320B"/>
    <w:rsid w:val="00A03AFF"/>
    <w:rsid w:val="00A041F7"/>
    <w:rsid w:val="00A104DF"/>
    <w:rsid w:val="00A2065A"/>
    <w:rsid w:val="00A2299F"/>
    <w:rsid w:val="00A238ED"/>
    <w:rsid w:val="00A24561"/>
    <w:rsid w:val="00A25091"/>
    <w:rsid w:val="00A26E5D"/>
    <w:rsid w:val="00A271D1"/>
    <w:rsid w:val="00A3193A"/>
    <w:rsid w:val="00A362C5"/>
    <w:rsid w:val="00A36455"/>
    <w:rsid w:val="00A376E8"/>
    <w:rsid w:val="00A4331A"/>
    <w:rsid w:val="00A4430F"/>
    <w:rsid w:val="00A451CC"/>
    <w:rsid w:val="00A47091"/>
    <w:rsid w:val="00A526DD"/>
    <w:rsid w:val="00A53818"/>
    <w:rsid w:val="00A54FCA"/>
    <w:rsid w:val="00A5777E"/>
    <w:rsid w:val="00A57889"/>
    <w:rsid w:val="00A57A52"/>
    <w:rsid w:val="00A6008F"/>
    <w:rsid w:val="00A61D39"/>
    <w:rsid w:val="00A70DAA"/>
    <w:rsid w:val="00A7266F"/>
    <w:rsid w:val="00A73042"/>
    <w:rsid w:val="00A741E9"/>
    <w:rsid w:val="00A74A51"/>
    <w:rsid w:val="00A74EAC"/>
    <w:rsid w:val="00A75574"/>
    <w:rsid w:val="00A76A55"/>
    <w:rsid w:val="00A771C4"/>
    <w:rsid w:val="00A77B26"/>
    <w:rsid w:val="00A814F5"/>
    <w:rsid w:val="00A91939"/>
    <w:rsid w:val="00A91F57"/>
    <w:rsid w:val="00A95465"/>
    <w:rsid w:val="00A95EC7"/>
    <w:rsid w:val="00A961C7"/>
    <w:rsid w:val="00A9640E"/>
    <w:rsid w:val="00A964A2"/>
    <w:rsid w:val="00A965CA"/>
    <w:rsid w:val="00A96831"/>
    <w:rsid w:val="00AA06ED"/>
    <w:rsid w:val="00AA1E10"/>
    <w:rsid w:val="00AA312F"/>
    <w:rsid w:val="00AA5F69"/>
    <w:rsid w:val="00AA65E2"/>
    <w:rsid w:val="00AA6C03"/>
    <w:rsid w:val="00AB14A2"/>
    <w:rsid w:val="00AB5BA9"/>
    <w:rsid w:val="00AB6744"/>
    <w:rsid w:val="00AB683E"/>
    <w:rsid w:val="00AB73C4"/>
    <w:rsid w:val="00AC037B"/>
    <w:rsid w:val="00AC10ED"/>
    <w:rsid w:val="00AC13F8"/>
    <w:rsid w:val="00AC42B8"/>
    <w:rsid w:val="00AC5339"/>
    <w:rsid w:val="00AD1EA5"/>
    <w:rsid w:val="00AD42B5"/>
    <w:rsid w:val="00AD5D78"/>
    <w:rsid w:val="00AE1556"/>
    <w:rsid w:val="00AE4156"/>
    <w:rsid w:val="00AE5301"/>
    <w:rsid w:val="00AF0AA3"/>
    <w:rsid w:val="00AF1AEA"/>
    <w:rsid w:val="00AF4992"/>
    <w:rsid w:val="00AF4B99"/>
    <w:rsid w:val="00AF611B"/>
    <w:rsid w:val="00AF7BD3"/>
    <w:rsid w:val="00AF7D79"/>
    <w:rsid w:val="00B00B3E"/>
    <w:rsid w:val="00B01C80"/>
    <w:rsid w:val="00B042AA"/>
    <w:rsid w:val="00B057E9"/>
    <w:rsid w:val="00B066DB"/>
    <w:rsid w:val="00B1131D"/>
    <w:rsid w:val="00B12397"/>
    <w:rsid w:val="00B12E8F"/>
    <w:rsid w:val="00B131FF"/>
    <w:rsid w:val="00B142D4"/>
    <w:rsid w:val="00B14892"/>
    <w:rsid w:val="00B15415"/>
    <w:rsid w:val="00B15781"/>
    <w:rsid w:val="00B15EE2"/>
    <w:rsid w:val="00B15FA0"/>
    <w:rsid w:val="00B22408"/>
    <w:rsid w:val="00B22B69"/>
    <w:rsid w:val="00B24258"/>
    <w:rsid w:val="00B26A17"/>
    <w:rsid w:val="00B342DA"/>
    <w:rsid w:val="00B347CC"/>
    <w:rsid w:val="00B356A4"/>
    <w:rsid w:val="00B35DB0"/>
    <w:rsid w:val="00B40A35"/>
    <w:rsid w:val="00B4446F"/>
    <w:rsid w:val="00B44A18"/>
    <w:rsid w:val="00B44C92"/>
    <w:rsid w:val="00B453F1"/>
    <w:rsid w:val="00B46FE4"/>
    <w:rsid w:val="00B47009"/>
    <w:rsid w:val="00B56DC9"/>
    <w:rsid w:val="00B6488C"/>
    <w:rsid w:val="00B65C8C"/>
    <w:rsid w:val="00B660A6"/>
    <w:rsid w:val="00B67157"/>
    <w:rsid w:val="00B71C36"/>
    <w:rsid w:val="00B7214F"/>
    <w:rsid w:val="00B73AFC"/>
    <w:rsid w:val="00B8153B"/>
    <w:rsid w:val="00B81568"/>
    <w:rsid w:val="00B81955"/>
    <w:rsid w:val="00B8224E"/>
    <w:rsid w:val="00B83232"/>
    <w:rsid w:val="00B85309"/>
    <w:rsid w:val="00B85A31"/>
    <w:rsid w:val="00B85E35"/>
    <w:rsid w:val="00B90D71"/>
    <w:rsid w:val="00B90DDB"/>
    <w:rsid w:val="00B91FF6"/>
    <w:rsid w:val="00B95DEE"/>
    <w:rsid w:val="00B9651F"/>
    <w:rsid w:val="00B97C02"/>
    <w:rsid w:val="00BA04DF"/>
    <w:rsid w:val="00BA1942"/>
    <w:rsid w:val="00BA3045"/>
    <w:rsid w:val="00BA36E6"/>
    <w:rsid w:val="00BA5F40"/>
    <w:rsid w:val="00BA777E"/>
    <w:rsid w:val="00BB257F"/>
    <w:rsid w:val="00BB28A6"/>
    <w:rsid w:val="00BB3050"/>
    <w:rsid w:val="00BC33F4"/>
    <w:rsid w:val="00BC3D35"/>
    <w:rsid w:val="00BC7637"/>
    <w:rsid w:val="00BC7B72"/>
    <w:rsid w:val="00BD3116"/>
    <w:rsid w:val="00BD62A1"/>
    <w:rsid w:val="00BD70EF"/>
    <w:rsid w:val="00BE0939"/>
    <w:rsid w:val="00BE55C4"/>
    <w:rsid w:val="00BF13AB"/>
    <w:rsid w:val="00BF2222"/>
    <w:rsid w:val="00BF4038"/>
    <w:rsid w:val="00BF529F"/>
    <w:rsid w:val="00BF54CE"/>
    <w:rsid w:val="00BF697D"/>
    <w:rsid w:val="00C025F5"/>
    <w:rsid w:val="00C035D7"/>
    <w:rsid w:val="00C038BE"/>
    <w:rsid w:val="00C05AA7"/>
    <w:rsid w:val="00C10D58"/>
    <w:rsid w:val="00C114F2"/>
    <w:rsid w:val="00C22911"/>
    <w:rsid w:val="00C23AA0"/>
    <w:rsid w:val="00C24753"/>
    <w:rsid w:val="00C2562A"/>
    <w:rsid w:val="00C2691E"/>
    <w:rsid w:val="00C31F1C"/>
    <w:rsid w:val="00C33674"/>
    <w:rsid w:val="00C35B42"/>
    <w:rsid w:val="00C40837"/>
    <w:rsid w:val="00C41168"/>
    <w:rsid w:val="00C43D40"/>
    <w:rsid w:val="00C447C3"/>
    <w:rsid w:val="00C451D5"/>
    <w:rsid w:val="00C45499"/>
    <w:rsid w:val="00C50AC4"/>
    <w:rsid w:val="00C52B23"/>
    <w:rsid w:val="00C52BC0"/>
    <w:rsid w:val="00C553FE"/>
    <w:rsid w:val="00C57A27"/>
    <w:rsid w:val="00C61E1E"/>
    <w:rsid w:val="00C6277F"/>
    <w:rsid w:val="00C63B0A"/>
    <w:rsid w:val="00C64C94"/>
    <w:rsid w:val="00C66628"/>
    <w:rsid w:val="00C7369D"/>
    <w:rsid w:val="00C74964"/>
    <w:rsid w:val="00C74B8B"/>
    <w:rsid w:val="00C76521"/>
    <w:rsid w:val="00C81521"/>
    <w:rsid w:val="00C822E0"/>
    <w:rsid w:val="00C83821"/>
    <w:rsid w:val="00C8660C"/>
    <w:rsid w:val="00C9109A"/>
    <w:rsid w:val="00C94556"/>
    <w:rsid w:val="00C9513D"/>
    <w:rsid w:val="00C96B55"/>
    <w:rsid w:val="00C97108"/>
    <w:rsid w:val="00C97CE0"/>
    <w:rsid w:val="00CA3F82"/>
    <w:rsid w:val="00CA539D"/>
    <w:rsid w:val="00CA638C"/>
    <w:rsid w:val="00CA639E"/>
    <w:rsid w:val="00CA6584"/>
    <w:rsid w:val="00CB0085"/>
    <w:rsid w:val="00CB05E8"/>
    <w:rsid w:val="00CB085B"/>
    <w:rsid w:val="00CB102B"/>
    <w:rsid w:val="00CB1EFC"/>
    <w:rsid w:val="00CB277D"/>
    <w:rsid w:val="00CB2C41"/>
    <w:rsid w:val="00CB33C0"/>
    <w:rsid w:val="00CB361E"/>
    <w:rsid w:val="00CB59D2"/>
    <w:rsid w:val="00CB626F"/>
    <w:rsid w:val="00CB707F"/>
    <w:rsid w:val="00CC23DD"/>
    <w:rsid w:val="00CC5DED"/>
    <w:rsid w:val="00CC7357"/>
    <w:rsid w:val="00CC7573"/>
    <w:rsid w:val="00CC7E65"/>
    <w:rsid w:val="00CD0704"/>
    <w:rsid w:val="00CD2EBE"/>
    <w:rsid w:val="00CD3523"/>
    <w:rsid w:val="00CE1374"/>
    <w:rsid w:val="00CE30CB"/>
    <w:rsid w:val="00CE418E"/>
    <w:rsid w:val="00CE4395"/>
    <w:rsid w:val="00CF042B"/>
    <w:rsid w:val="00CF0EF7"/>
    <w:rsid w:val="00CF163E"/>
    <w:rsid w:val="00CF20D8"/>
    <w:rsid w:val="00D0156F"/>
    <w:rsid w:val="00D01800"/>
    <w:rsid w:val="00D0281A"/>
    <w:rsid w:val="00D0397C"/>
    <w:rsid w:val="00D07118"/>
    <w:rsid w:val="00D074F0"/>
    <w:rsid w:val="00D077D4"/>
    <w:rsid w:val="00D07835"/>
    <w:rsid w:val="00D13625"/>
    <w:rsid w:val="00D144FF"/>
    <w:rsid w:val="00D147C4"/>
    <w:rsid w:val="00D15C94"/>
    <w:rsid w:val="00D16843"/>
    <w:rsid w:val="00D2186A"/>
    <w:rsid w:val="00D24105"/>
    <w:rsid w:val="00D2714B"/>
    <w:rsid w:val="00D341AA"/>
    <w:rsid w:val="00D36143"/>
    <w:rsid w:val="00D44361"/>
    <w:rsid w:val="00D46255"/>
    <w:rsid w:val="00D51507"/>
    <w:rsid w:val="00D51D65"/>
    <w:rsid w:val="00D52B1A"/>
    <w:rsid w:val="00D546FF"/>
    <w:rsid w:val="00D55BB4"/>
    <w:rsid w:val="00D60858"/>
    <w:rsid w:val="00D61155"/>
    <w:rsid w:val="00D61F9B"/>
    <w:rsid w:val="00D634B5"/>
    <w:rsid w:val="00D64767"/>
    <w:rsid w:val="00D67B63"/>
    <w:rsid w:val="00D7349A"/>
    <w:rsid w:val="00D7401D"/>
    <w:rsid w:val="00D74CB5"/>
    <w:rsid w:val="00D7561A"/>
    <w:rsid w:val="00D75AF3"/>
    <w:rsid w:val="00D803FB"/>
    <w:rsid w:val="00D807AE"/>
    <w:rsid w:val="00D8100F"/>
    <w:rsid w:val="00D81FDC"/>
    <w:rsid w:val="00D8372F"/>
    <w:rsid w:val="00D871A5"/>
    <w:rsid w:val="00D87E4D"/>
    <w:rsid w:val="00D91DC0"/>
    <w:rsid w:val="00D92341"/>
    <w:rsid w:val="00D93803"/>
    <w:rsid w:val="00D93BC3"/>
    <w:rsid w:val="00D95BA7"/>
    <w:rsid w:val="00D97BC7"/>
    <w:rsid w:val="00D97CD5"/>
    <w:rsid w:val="00DA0557"/>
    <w:rsid w:val="00DA1F66"/>
    <w:rsid w:val="00DA33F4"/>
    <w:rsid w:val="00DA3975"/>
    <w:rsid w:val="00DA3986"/>
    <w:rsid w:val="00DA4124"/>
    <w:rsid w:val="00DA5180"/>
    <w:rsid w:val="00DA6B71"/>
    <w:rsid w:val="00DA7045"/>
    <w:rsid w:val="00DA76F8"/>
    <w:rsid w:val="00DB379A"/>
    <w:rsid w:val="00DB53C6"/>
    <w:rsid w:val="00DB680E"/>
    <w:rsid w:val="00DB7146"/>
    <w:rsid w:val="00DB7295"/>
    <w:rsid w:val="00DC1913"/>
    <w:rsid w:val="00DC1BF6"/>
    <w:rsid w:val="00DC50EB"/>
    <w:rsid w:val="00DC55E0"/>
    <w:rsid w:val="00DC5709"/>
    <w:rsid w:val="00DC6146"/>
    <w:rsid w:val="00DD264A"/>
    <w:rsid w:val="00DD378C"/>
    <w:rsid w:val="00DD5576"/>
    <w:rsid w:val="00DD56E2"/>
    <w:rsid w:val="00DD5ED1"/>
    <w:rsid w:val="00DD650F"/>
    <w:rsid w:val="00DD6BBC"/>
    <w:rsid w:val="00DD7F1E"/>
    <w:rsid w:val="00DE04BE"/>
    <w:rsid w:val="00DE05B3"/>
    <w:rsid w:val="00DE132D"/>
    <w:rsid w:val="00DE54BC"/>
    <w:rsid w:val="00DE68B3"/>
    <w:rsid w:val="00DE706D"/>
    <w:rsid w:val="00DF08B8"/>
    <w:rsid w:val="00DF2E4F"/>
    <w:rsid w:val="00DF5C21"/>
    <w:rsid w:val="00E014EB"/>
    <w:rsid w:val="00E0581D"/>
    <w:rsid w:val="00E06C63"/>
    <w:rsid w:val="00E130CA"/>
    <w:rsid w:val="00E13A29"/>
    <w:rsid w:val="00E152BC"/>
    <w:rsid w:val="00E26188"/>
    <w:rsid w:val="00E30D81"/>
    <w:rsid w:val="00E315F4"/>
    <w:rsid w:val="00E32322"/>
    <w:rsid w:val="00E32511"/>
    <w:rsid w:val="00E326CC"/>
    <w:rsid w:val="00E32B68"/>
    <w:rsid w:val="00E32CC2"/>
    <w:rsid w:val="00E32CDA"/>
    <w:rsid w:val="00E334DB"/>
    <w:rsid w:val="00E34AC0"/>
    <w:rsid w:val="00E34D43"/>
    <w:rsid w:val="00E40365"/>
    <w:rsid w:val="00E42762"/>
    <w:rsid w:val="00E42F1F"/>
    <w:rsid w:val="00E43453"/>
    <w:rsid w:val="00E476CB"/>
    <w:rsid w:val="00E51202"/>
    <w:rsid w:val="00E5146C"/>
    <w:rsid w:val="00E5271E"/>
    <w:rsid w:val="00E53172"/>
    <w:rsid w:val="00E53B7F"/>
    <w:rsid w:val="00E54153"/>
    <w:rsid w:val="00E60218"/>
    <w:rsid w:val="00E60A29"/>
    <w:rsid w:val="00E61B76"/>
    <w:rsid w:val="00E63107"/>
    <w:rsid w:val="00E64FF0"/>
    <w:rsid w:val="00E74189"/>
    <w:rsid w:val="00E75BD2"/>
    <w:rsid w:val="00E80AE8"/>
    <w:rsid w:val="00E844E2"/>
    <w:rsid w:val="00E90C17"/>
    <w:rsid w:val="00E93924"/>
    <w:rsid w:val="00E94FB8"/>
    <w:rsid w:val="00E9503E"/>
    <w:rsid w:val="00EA093E"/>
    <w:rsid w:val="00EA1B6B"/>
    <w:rsid w:val="00EA71CF"/>
    <w:rsid w:val="00EB0990"/>
    <w:rsid w:val="00EB13F5"/>
    <w:rsid w:val="00EB2F44"/>
    <w:rsid w:val="00EB4810"/>
    <w:rsid w:val="00EB6C83"/>
    <w:rsid w:val="00EB7894"/>
    <w:rsid w:val="00EC0960"/>
    <w:rsid w:val="00EC46A5"/>
    <w:rsid w:val="00EC4E54"/>
    <w:rsid w:val="00EC6238"/>
    <w:rsid w:val="00EC7FBC"/>
    <w:rsid w:val="00ED1BB3"/>
    <w:rsid w:val="00ED48F8"/>
    <w:rsid w:val="00ED627A"/>
    <w:rsid w:val="00ED654B"/>
    <w:rsid w:val="00ED660B"/>
    <w:rsid w:val="00ED735B"/>
    <w:rsid w:val="00EE2EF8"/>
    <w:rsid w:val="00EE2F6E"/>
    <w:rsid w:val="00EE4284"/>
    <w:rsid w:val="00EE55F7"/>
    <w:rsid w:val="00EF0334"/>
    <w:rsid w:val="00F00138"/>
    <w:rsid w:val="00F003AE"/>
    <w:rsid w:val="00F057F8"/>
    <w:rsid w:val="00F06D2A"/>
    <w:rsid w:val="00F06F35"/>
    <w:rsid w:val="00F075CA"/>
    <w:rsid w:val="00F154EE"/>
    <w:rsid w:val="00F16B86"/>
    <w:rsid w:val="00F1766E"/>
    <w:rsid w:val="00F17E66"/>
    <w:rsid w:val="00F20AD2"/>
    <w:rsid w:val="00F20B8E"/>
    <w:rsid w:val="00F21414"/>
    <w:rsid w:val="00F21416"/>
    <w:rsid w:val="00F25CF7"/>
    <w:rsid w:val="00F3023E"/>
    <w:rsid w:val="00F304C3"/>
    <w:rsid w:val="00F31F61"/>
    <w:rsid w:val="00F32B08"/>
    <w:rsid w:val="00F3505A"/>
    <w:rsid w:val="00F353C7"/>
    <w:rsid w:val="00F3665D"/>
    <w:rsid w:val="00F37FFC"/>
    <w:rsid w:val="00F410D9"/>
    <w:rsid w:val="00F42D75"/>
    <w:rsid w:val="00F459F1"/>
    <w:rsid w:val="00F52593"/>
    <w:rsid w:val="00F53A92"/>
    <w:rsid w:val="00F563AB"/>
    <w:rsid w:val="00F63E0F"/>
    <w:rsid w:val="00F640DA"/>
    <w:rsid w:val="00F678C8"/>
    <w:rsid w:val="00F70AC3"/>
    <w:rsid w:val="00F71899"/>
    <w:rsid w:val="00F733F3"/>
    <w:rsid w:val="00F7397E"/>
    <w:rsid w:val="00F74852"/>
    <w:rsid w:val="00F77D09"/>
    <w:rsid w:val="00F80C6E"/>
    <w:rsid w:val="00F81225"/>
    <w:rsid w:val="00F81231"/>
    <w:rsid w:val="00F81B16"/>
    <w:rsid w:val="00F81BC1"/>
    <w:rsid w:val="00F82315"/>
    <w:rsid w:val="00F84196"/>
    <w:rsid w:val="00F90729"/>
    <w:rsid w:val="00F91274"/>
    <w:rsid w:val="00F91E7B"/>
    <w:rsid w:val="00F93F4C"/>
    <w:rsid w:val="00F967B6"/>
    <w:rsid w:val="00FA05A0"/>
    <w:rsid w:val="00FA185D"/>
    <w:rsid w:val="00FA19DA"/>
    <w:rsid w:val="00FA3548"/>
    <w:rsid w:val="00FA4196"/>
    <w:rsid w:val="00FA5AEC"/>
    <w:rsid w:val="00FB429F"/>
    <w:rsid w:val="00FB5F75"/>
    <w:rsid w:val="00FC1518"/>
    <w:rsid w:val="00FC3DCD"/>
    <w:rsid w:val="00FC4854"/>
    <w:rsid w:val="00FC546F"/>
    <w:rsid w:val="00FC5857"/>
    <w:rsid w:val="00FD4671"/>
    <w:rsid w:val="00FD67AB"/>
    <w:rsid w:val="00FE0D44"/>
    <w:rsid w:val="00FE2169"/>
    <w:rsid w:val="00FE2C0E"/>
    <w:rsid w:val="00FE2D3A"/>
    <w:rsid w:val="00FE3FA3"/>
    <w:rsid w:val="00FE638B"/>
    <w:rsid w:val="00FF0002"/>
    <w:rsid w:val="00FF031B"/>
    <w:rsid w:val="00FF0BB2"/>
    <w:rsid w:val="00FF0F6B"/>
    <w:rsid w:val="00FF29CC"/>
    <w:rsid w:val="00FF2B0B"/>
    <w:rsid w:val="00FF407C"/>
    <w:rsid w:val="00FF604B"/>
    <w:rsid w:val="00FF706F"/>
    <w:rsid w:val="00FF78EF"/>
    <w:rsid w:val="141C746F"/>
    <w:rsid w:val="50572C71"/>
    <w:rsid w:val="6B2C4239"/>
    <w:rsid w:val="752559CE"/>
    <w:rsid w:val="75D97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 w:type="paragraph" w:styleId="a7">
    <w:name w:val="List Paragraph"/>
    <w:basedOn w:val="a"/>
    <w:uiPriority w:val="34"/>
    <w:qFormat/>
    <w:pPr>
      <w:ind w:firstLineChars="200" w:firstLine="420"/>
    </w:pPr>
  </w:style>
  <w:style w:type="paragraph" w:styleId="a8">
    <w:name w:val="Body Text Indent"/>
    <w:basedOn w:val="a"/>
    <w:link w:val="Char2"/>
    <w:semiHidden/>
    <w:rsid w:val="00F21416"/>
    <w:pPr>
      <w:ind w:firstLineChars="200" w:firstLine="640"/>
    </w:pPr>
    <w:rPr>
      <w:rFonts w:ascii="仿宋_GB2312" w:eastAsia="仿宋_GB2312" w:hAnsi="Times New Roman"/>
      <w:kern w:val="10"/>
      <w:sz w:val="32"/>
      <w:szCs w:val="24"/>
    </w:rPr>
  </w:style>
  <w:style w:type="character" w:customStyle="1" w:styleId="Char2">
    <w:name w:val="正文文本缩进 Char"/>
    <w:basedOn w:val="a0"/>
    <w:link w:val="a8"/>
    <w:semiHidden/>
    <w:rsid w:val="00F21416"/>
    <w:rPr>
      <w:rFonts w:ascii="仿宋_GB2312" w:eastAsia="仿宋_GB2312"/>
      <w:kern w:val="10"/>
      <w:sz w:val="32"/>
      <w:szCs w:val="24"/>
    </w:rPr>
  </w:style>
  <w:style w:type="character" w:styleId="a9">
    <w:name w:val="Strong"/>
    <w:basedOn w:val="a0"/>
    <w:uiPriority w:val="22"/>
    <w:qFormat/>
    <w:rsid w:val="00CB1E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375588">
      <w:bodyDiv w:val="1"/>
      <w:marLeft w:val="0"/>
      <w:marRight w:val="0"/>
      <w:marTop w:val="0"/>
      <w:marBottom w:val="0"/>
      <w:divBdr>
        <w:top w:val="none" w:sz="0" w:space="0" w:color="auto"/>
        <w:left w:val="none" w:sz="0" w:space="0" w:color="auto"/>
        <w:bottom w:val="none" w:sz="0" w:space="0" w:color="auto"/>
        <w:right w:val="none" w:sz="0" w:space="0" w:color="auto"/>
      </w:divBdr>
    </w:div>
    <w:div w:id="574323438">
      <w:bodyDiv w:val="1"/>
      <w:marLeft w:val="0"/>
      <w:marRight w:val="0"/>
      <w:marTop w:val="0"/>
      <w:marBottom w:val="0"/>
      <w:divBdr>
        <w:top w:val="none" w:sz="0" w:space="0" w:color="auto"/>
        <w:left w:val="none" w:sz="0" w:space="0" w:color="auto"/>
        <w:bottom w:val="none" w:sz="0" w:space="0" w:color="auto"/>
        <w:right w:val="none" w:sz="0" w:space="0" w:color="auto"/>
      </w:divBdr>
    </w:div>
    <w:div w:id="1185905231">
      <w:bodyDiv w:val="1"/>
      <w:marLeft w:val="0"/>
      <w:marRight w:val="0"/>
      <w:marTop w:val="0"/>
      <w:marBottom w:val="0"/>
      <w:divBdr>
        <w:top w:val="none" w:sz="0" w:space="0" w:color="auto"/>
        <w:left w:val="none" w:sz="0" w:space="0" w:color="auto"/>
        <w:bottom w:val="none" w:sz="0" w:space="0" w:color="auto"/>
        <w:right w:val="none" w:sz="0" w:space="0" w:color="auto"/>
      </w:divBdr>
    </w:div>
    <w:div w:id="1637640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_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__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__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__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__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__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___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ltLang="zh-CN"/>
              <a:t>2020</a:t>
            </a:r>
            <a:r>
              <a:rPr lang="zh-CN" altLang="en-US"/>
              <a:t>年</a:t>
            </a:r>
            <a:r>
              <a:rPr lang="en-US" altLang="zh-CN"/>
              <a:t>1-9</a:t>
            </a:r>
            <a:r>
              <a:rPr lang="zh-CN" altLang="en-US"/>
              <a:t>月各机构业务增速（</a:t>
            </a:r>
            <a:r>
              <a:rPr lang="en-US" altLang="zh-CN"/>
              <a:t>%</a:t>
            </a:r>
            <a:r>
              <a:rPr lang="zh-CN" altLang="en-US"/>
              <a:t>）</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Sheet1!$G$11:$G$36</c:f>
              <c:strCache>
                <c:ptCount val="26"/>
                <c:pt idx="0">
                  <c:v>中国人寿</c:v>
                </c:pt>
                <c:pt idx="1">
                  <c:v>太平洋人寿</c:v>
                </c:pt>
                <c:pt idx="2">
                  <c:v>平安人寿</c:v>
                </c:pt>
                <c:pt idx="3">
                  <c:v>泰康人寿</c:v>
                </c:pt>
                <c:pt idx="4">
                  <c:v>太平人寿</c:v>
                </c:pt>
                <c:pt idx="5">
                  <c:v>富德生命人寿</c:v>
                </c:pt>
                <c:pt idx="6">
                  <c:v>民生人寿</c:v>
                </c:pt>
                <c:pt idx="7">
                  <c:v>人保健康</c:v>
                </c:pt>
                <c:pt idx="8">
                  <c:v>人保寿险</c:v>
                </c:pt>
                <c:pt idx="9">
                  <c:v>中荷人寿</c:v>
                </c:pt>
                <c:pt idx="10">
                  <c:v>新华人寿</c:v>
                </c:pt>
                <c:pt idx="11">
                  <c:v>阳光人寿</c:v>
                </c:pt>
                <c:pt idx="12">
                  <c:v>合众人寿</c:v>
                </c:pt>
                <c:pt idx="13">
                  <c:v>中意人寿</c:v>
                </c:pt>
                <c:pt idx="14">
                  <c:v>百年人寿</c:v>
                </c:pt>
                <c:pt idx="15">
                  <c:v>光大永明人寿</c:v>
                </c:pt>
                <c:pt idx="16">
                  <c:v>恒安标准人寿</c:v>
                </c:pt>
                <c:pt idx="17">
                  <c:v>英大泰和人寿</c:v>
                </c:pt>
                <c:pt idx="18">
                  <c:v>华汇人寿</c:v>
                </c:pt>
                <c:pt idx="19">
                  <c:v>大家人寿</c:v>
                </c:pt>
                <c:pt idx="20">
                  <c:v>国华人寿</c:v>
                </c:pt>
                <c:pt idx="21">
                  <c:v>农银人寿</c:v>
                </c:pt>
                <c:pt idx="22">
                  <c:v>中英人寿</c:v>
                </c:pt>
                <c:pt idx="23">
                  <c:v>建信人寿</c:v>
                </c:pt>
                <c:pt idx="24">
                  <c:v>和谐健康</c:v>
                </c:pt>
                <c:pt idx="25">
                  <c:v>华泰人寿</c:v>
                </c:pt>
              </c:strCache>
            </c:strRef>
          </c:cat>
          <c:val>
            <c:numRef>
              <c:f>Sheet1!$H$11:$H$36</c:f>
              <c:numCache>
                <c:formatCode>0.0%</c:formatCode>
                <c:ptCount val="26"/>
                <c:pt idx="0">
                  <c:v>-9.1999999999999998E-3</c:v>
                </c:pt>
                <c:pt idx="1">
                  <c:v>-3.0300000000000001E-2</c:v>
                </c:pt>
                <c:pt idx="2">
                  <c:v>-4.5100000000000001E-2</c:v>
                </c:pt>
                <c:pt idx="3">
                  <c:v>6.8599999999999994E-2</c:v>
                </c:pt>
                <c:pt idx="4">
                  <c:v>-2.7400000000000001E-2</c:v>
                </c:pt>
                <c:pt idx="5">
                  <c:v>5.7599999999999998E-2</c:v>
                </c:pt>
                <c:pt idx="6">
                  <c:v>8.2699999999999996E-2</c:v>
                </c:pt>
                <c:pt idx="7">
                  <c:v>7.5200000000000003E-2</c:v>
                </c:pt>
                <c:pt idx="8">
                  <c:v>-0.23530000000000001</c:v>
                </c:pt>
                <c:pt idx="9">
                  <c:v>6.2899999999999998E-2</c:v>
                </c:pt>
                <c:pt idx="10">
                  <c:v>0.22420000000000001</c:v>
                </c:pt>
                <c:pt idx="11">
                  <c:v>0.25950000000000001</c:v>
                </c:pt>
                <c:pt idx="12">
                  <c:v>0.77549999999999997</c:v>
                </c:pt>
                <c:pt idx="13">
                  <c:v>0.11</c:v>
                </c:pt>
                <c:pt idx="14">
                  <c:v>0.22819999999999999</c:v>
                </c:pt>
                <c:pt idx="15">
                  <c:v>-0.32929999999999998</c:v>
                </c:pt>
                <c:pt idx="16">
                  <c:v>6.0100000000000001E-2</c:v>
                </c:pt>
                <c:pt idx="17">
                  <c:v>0.47099999999999997</c:v>
                </c:pt>
                <c:pt idx="18">
                  <c:v>-0.51859999999999995</c:v>
                </c:pt>
                <c:pt idx="19">
                  <c:v>4.6100000000000003</c:v>
                </c:pt>
                <c:pt idx="20">
                  <c:v>-0.28460000000000002</c:v>
                </c:pt>
                <c:pt idx="21">
                  <c:v>-4.8399999999999999E-2</c:v>
                </c:pt>
                <c:pt idx="22">
                  <c:v>0.18110000000000001</c:v>
                </c:pt>
                <c:pt idx="23">
                  <c:v>5.3400000000000003E-2</c:v>
                </c:pt>
                <c:pt idx="24">
                  <c:v>1.8929</c:v>
                </c:pt>
                <c:pt idx="25">
                  <c:v>-0.1416</c:v>
                </c:pt>
              </c:numCache>
            </c:numRef>
          </c:val>
        </c:ser>
        <c:dLbls>
          <c:showLegendKey val="0"/>
          <c:showVal val="0"/>
          <c:showCatName val="0"/>
          <c:showSerName val="0"/>
          <c:showPercent val="0"/>
          <c:showBubbleSize val="0"/>
        </c:dLbls>
        <c:gapWidth val="150"/>
        <c:shape val="box"/>
        <c:axId val="427086976"/>
        <c:axId val="427088512"/>
        <c:axId val="0"/>
      </c:bar3DChart>
      <c:catAx>
        <c:axId val="427086976"/>
        <c:scaling>
          <c:orientation val="minMax"/>
        </c:scaling>
        <c:delete val="0"/>
        <c:axPos val="b"/>
        <c:majorTickMark val="none"/>
        <c:minorTickMark val="none"/>
        <c:tickLblPos val="nextTo"/>
        <c:crossAx val="427088512"/>
        <c:crosses val="autoZero"/>
        <c:auto val="1"/>
        <c:lblAlgn val="ctr"/>
        <c:lblOffset val="100"/>
        <c:noMultiLvlLbl val="0"/>
      </c:catAx>
      <c:valAx>
        <c:axId val="427088512"/>
        <c:scaling>
          <c:orientation val="minMax"/>
        </c:scaling>
        <c:delete val="0"/>
        <c:axPos val="l"/>
        <c:majorGridlines/>
        <c:numFmt formatCode="0.0%" sourceLinked="1"/>
        <c:majorTickMark val="none"/>
        <c:minorTickMark val="none"/>
        <c:tickLblPos val="nextTo"/>
        <c:crossAx val="427086976"/>
        <c:crosses val="autoZero"/>
        <c:crossBetween val="between"/>
      </c:valAx>
      <c:dTable>
        <c:showHorzBorder val="1"/>
        <c:showVertBorder val="1"/>
        <c:showOutline val="1"/>
        <c:showKeys val="1"/>
        <c:txPr>
          <a:bodyPr/>
          <a:lstStyle/>
          <a:p>
            <a:pPr rtl="0">
              <a:defRPr sz="650" baseline="0"/>
            </a:pPr>
            <a:endParaRPr lang="zh-CN"/>
          </a:p>
        </c:txPr>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Sheet1!$D$358</c:f>
              <c:strCache>
                <c:ptCount val="1"/>
                <c:pt idx="0">
                  <c:v>份额</c:v>
                </c:pt>
              </c:strCache>
            </c:strRef>
          </c:tx>
          <c:explosion val="25"/>
          <c:dLbls>
            <c:dLbl>
              <c:idx val="15"/>
              <c:layout>
                <c:manualLayout>
                  <c:x val="1.0771470160116448E-3"/>
                  <c:y val="0.30465688926288792"/>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Sheet1!$B$359:$B$384</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Sheet1!$D$359:$D$384</c:f>
              <c:numCache>
                <c:formatCode>0.00%</c:formatCode>
                <c:ptCount val="26"/>
                <c:pt idx="0">
                  <c:v>3.1611410948342328E-2</c:v>
                </c:pt>
                <c:pt idx="1">
                  <c:v>0</c:v>
                </c:pt>
                <c:pt idx="2">
                  <c:v>6.6615265998457976E-2</c:v>
                </c:pt>
                <c:pt idx="3">
                  <c:v>8.2241069133898745E-4</c:v>
                </c:pt>
                <c:pt idx="4">
                  <c:v>5.664353636597276E-2</c:v>
                </c:pt>
                <c:pt idx="5">
                  <c:v>6.1526599845797995E-2</c:v>
                </c:pt>
                <c:pt idx="6">
                  <c:v>0</c:v>
                </c:pt>
                <c:pt idx="7">
                  <c:v>0</c:v>
                </c:pt>
                <c:pt idx="8">
                  <c:v>2.1022873297352866E-2</c:v>
                </c:pt>
                <c:pt idx="9">
                  <c:v>0.10645078386019018</c:v>
                </c:pt>
                <c:pt idx="10">
                  <c:v>1.0537136982780776E-2</c:v>
                </c:pt>
                <c:pt idx="11">
                  <c:v>0.18756103829349782</c:v>
                </c:pt>
                <c:pt idx="12">
                  <c:v>1.1308147005911076E-2</c:v>
                </c:pt>
                <c:pt idx="13">
                  <c:v>1.8658442559753276E-2</c:v>
                </c:pt>
                <c:pt idx="14">
                  <c:v>0.12701105114366487</c:v>
                </c:pt>
                <c:pt idx="15">
                  <c:v>1.4751991775893087E-2</c:v>
                </c:pt>
                <c:pt idx="16">
                  <c:v>0</c:v>
                </c:pt>
                <c:pt idx="17">
                  <c:v>0</c:v>
                </c:pt>
                <c:pt idx="18">
                  <c:v>5.1914674890773584E-3</c:v>
                </c:pt>
                <c:pt idx="19">
                  <c:v>0.14166024158314058</c:v>
                </c:pt>
                <c:pt idx="20">
                  <c:v>3.9115908506810591E-2</c:v>
                </c:pt>
                <c:pt idx="21">
                  <c:v>5.1914674890773581E-2</c:v>
                </c:pt>
                <c:pt idx="22">
                  <c:v>6.1166795168337189E-3</c:v>
                </c:pt>
                <c:pt idx="23">
                  <c:v>4.1480339244410178E-2</c:v>
                </c:pt>
                <c:pt idx="24">
                  <c:v>0</c:v>
                </c:pt>
                <c:pt idx="25">
                  <c:v>0</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ltLang="zh-CN"/>
              <a:t>2020</a:t>
            </a:r>
            <a:r>
              <a:rPr lang="zh-CN" altLang="en-US"/>
              <a:t>年</a:t>
            </a:r>
            <a:r>
              <a:rPr lang="en-US" altLang="zh-CN"/>
              <a:t>1-9</a:t>
            </a:r>
            <a:r>
              <a:rPr lang="zh-CN" altLang="en-US"/>
              <a:t>月各公司意外险市场份额</a:t>
            </a:r>
            <a:endParaRPr lang="zh-CN"/>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Sheet1!$C$390</c:f>
              <c:strCache>
                <c:ptCount val="1"/>
                <c:pt idx="0">
                  <c:v>2020年1-9月</c:v>
                </c:pt>
              </c:strCache>
            </c:strRef>
          </c:tx>
          <c:invertIfNegative val="0"/>
          <c:cat>
            <c:strRef>
              <c:f>Sheet1!$B$391:$B$416</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Sheet1!$C$391:$C$416</c:f>
              <c:numCache>
                <c:formatCode>General</c:formatCode>
                <c:ptCount val="26"/>
                <c:pt idx="0">
                  <c:v>1226</c:v>
                </c:pt>
                <c:pt idx="1">
                  <c:v>11</c:v>
                </c:pt>
                <c:pt idx="2">
                  <c:v>1163</c:v>
                </c:pt>
                <c:pt idx="3">
                  <c:v>54</c:v>
                </c:pt>
                <c:pt idx="4">
                  <c:v>256</c:v>
                </c:pt>
                <c:pt idx="5">
                  <c:v>769</c:v>
                </c:pt>
                <c:pt idx="6">
                  <c:v>0</c:v>
                </c:pt>
                <c:pt idx="7">
                  <c:v>784</c:v>
                </c:pt>
                <c:pt idx="8">
                  <c:v>107</c:v>
                </c:pt>
                <c:pt idx="9">
                  <c:v>1</c:v>
                </c:pt>
                <c:pt idx="10">
                  <c:v>177</c:v>
                </c:pt>
                <c:pt idx="11">
                  <c:v>96</c:v>
                </c:pt>
                <c:pt idx="12">
                  <c:v>2</c:v>
                </c:pt>
                <c:pt idx="13">
                  <c:v>40</c:v>
                </c:pt>
                <c:pt idx="14">
                  <c:v>8</c:v>
                </c:pt>
                <c:pt idx="15">
                  <c:v>45</c:v>
                </c:pt>
                <c:pt idx="16">
                  <c:v>6</c:v>
                </c:pt>
                <c:pt idx="17">
                  <c:v>0</c:v>
                </c:pt>
                <c:pt idx="18">
                  <c:v>4</c:v>
                </c:pt>
                <c:pt idx="19">
                  <c:v>0</c:v>
                </c:pt>
                <c:pt idx="20">
                  <c:v>4</c:v>
                </c:pt>
                <c:pt idx="21">
                  <c:v>1</c:v>
                </c:pt>
                <c:pt idx="22">
                  <c:v>6</c:v>
                </c:pt>
                <c:pt idx="23">
                  <c:v>0</c:v>
                </c:pt>
                <c:pt idx="24">
                  <c:v>0</c:v>
                </c:pt>
                <c:pt idx="25">
                  <c:v>21</c:v>
                </c:pt>
              </c:numCache>
            </c:numRef>
          </c:val>
        </c:ser>
        <c:ser>
          <c:idx val="1"/>
          <c:order val="1"/>
          <c:tx>
            <c:strRef>
              <c:f>Sheet1!$D$390</c:f>
              <c:strCache>
                <c:ptCount val="1"/>
                <c:pt idx="0">
                  <c:v>份额</c:v>
                </c:pt>
              </c:strCache>
            </c:strRef>
          </c:tx>
          <c:invertIfNegative val="0"/>
          <c:cat>
            <c:strRef>
              <c:f>Sheet1!$B$391:$B$416</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Sheet1!$D$391:$D$416</c:f>
              <c:numCache>
                <c:formatCode>0.00%</c:formatCode>
                <c:ptCount val="26"/>
                <c:pt idx="0">
                  <c:v>0.25643170884752142</c:v>
                </c:pt>
                <c:pt idx="1">
                  <c:v>2.3007738966743358E-3</c:v>
                </c:pt>
                <c:pt idx="2">
                  <c:v>0.24325454925747753</c:v>
                </c:pt>
                <c:pt idx="3">
                  <c:v>1.1294708220037648E-2</c:v>
                </c:pt>
                <c:pt idx="4">
                  <c:v>5.3545283413511821E-2</c:v>
                </c:pt>
                <c:pt idx="5">
                  <c:v>0.16084501150386948</c:v>
                </c:pt>
                <c:pt idx="6">
                  <c:v>0</c:v>
                </c:pt>
                <c:pt idx="7">
                  <c:v>0.16398243045387995</c:v>
                </c:pt>
                <c:pt idx="8">
                  <c:v>2.2380255176741269E-2</c:v>
                </c:pt>
                <c:pt idx="9">
                  <c:v>2.0916126333403055E-4</c:v>
                </c:pt>
                <c:pt idx="10">
                  <c:v>3.7021543610123407E-2</c:v>
                </c:pt>
                <c:pt idx="11">
                  <c:v>2.0079481280066931E-2</c:v>
                </c:pt>
                <c:pt idx="12">
                  <c:v>4.183225266680611E-4</c:v>
                </c:pt>
                <c:pt idx="13">
                  <c:v>8.3664505333612207E-3</c:v>
                </c:pt>
                <c:pt idx="14">
                  <c:v>1.6732901066722444E-3</c:v>
                </c:pt>
                <c:pt idx="15">
                  <c:v>9.4122568500313742E-3</c:v>
                </c:pt>
                <c:pt idx="16">
                  <c:v>1.2549675800041832E-3</c:v>
                </c:pt>
                <c:pt idx="17">
                  <c:v>0</c:v>
                </c:pt>
                <c:pt idx="18">
                  <c:v>8.366450533361222E-4</c:v>
                </c:pt>
                <c:pt idx="19">
                  <c:v>0</c:v>
                </c:pt>
                <c:pt idx="20">
                  <c:v>8.366450533361222E-4</c:v>
                </c:pt>
                <c:pt idx="21">
                  <c:v>2.0916126333403055E-4</c:v>
                </c:pt>
                <c:pt idx="22">
                  <c:v>1.2549675800041832E-3</c:v>
                </c:pt>
                <c:pt idx="23">
                  <c:v>0</c:v>
                </c:pt>
                <c:pt idx="24">
                  <c:v>0</c:v>
                </c:pt>
                <c:pt idx="25">
                  <c:v>4.3923865300146414E-3</c:v>
                </c:pt>
              </c:numCache>
            </c:numRef>
          </c:val>
        </c:ser>
        <c:dLbls>
          <c:showLegendKey val="0"/>
          <c:showVal val="0"/>
          <c:showCatName val="0"/>
          <c:showSerName val="0"/>
          <c:showPercent val="0"/>
          <c:showBubbleSize val="0"/>
        </c:dLbls>
        <c:gapWidth val="150"/>
        <c:shape val="cylinder"/>
        <c:axId val="581156864"/>
        <c:axId val="581158400"/>
        <c:axId val="0"/>
      </c:bar3DChart>
      <c:catAx>
        <c:axId val="581156864"/>
        <c:scaling>
          <c:orientation val="minMax"/>
        </c:scaling>
        <c:delete val="0"/>
        <c:axPos val="b"/>
        <c:majorTickMark val="none"/>
        <c:minorTickMark val="none"/>
        <c:tickLblPos val="nextTo"/>
        <c:crossAx val="581158400"/>
        <c:crosses val="autoZero"/>
        <c:auto val="1"/>
        <c:lblAlgn val="ctr"/>
        <c:lblOffset val="100"/>
        <c:noMultiLvlLbl val="0"/>
      </c:catAx>
      <c:valAx>
        <c:axId val="581158400"/>
        <c:scaling>
          <c:orientation val="minMax"/>
        </c:scaling>
        <c:delete val="0"/>
        <c:axPos val="l"/>
        <c:majorGridlines/>
        <c:numFmt formatCode="General" sourceLinked="1"/>
        <c:majorTickMark val="none"/>
        <c:minorTickMark val="none"/>
        <c:tickLblPos val="nextTo"/>
        <c:crossAx val="581156864"/>
        <c:crosses val="autoZero"/>
        <c:crossBetween val="between"/>
      </c:valAx>
      <c:dTable>
        <c:showHorzBorder val="1"/>
        <c:showVertBorder val="1"/>
        <c:showOutline val="1"/>
        <c:showKeys val="1"/>
        <c:txPr>
          <a:bodyPr/>
          <a:lstStyle/>
          <a:p>
            <a:pPr rtl="0">
              <a:defRPr sz="650" b="0" i="0" baseline="0"/>
            </a:pPr>
            <a:endParaRPr lang="zh-CN"/>
          </a:p>
        </c:txPr>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ltLang="zh-CN"/>
              <a:t>2020</a:t>
            </a:r>
            <a:r>
              <a:rPr lang="zh-CN" altLang="en-US"/>
              <a:t>年</a:t>
            </a:r>
            <a:r>
              <a:rPr lang="en-US" altLang="zh-CN"/>
              <a:t>1-9</a:t>
            </a:r>
            <a:r>
              <a:rPr lang="zh-CN" altLang="en-US"/>
              <a:t>月各公司健康险市场份额</a:t>
            </a:r>
            <a:endParaRPr lang="zh-CN"/>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Sheet1!$C$424</c:f>
              <c:strCache>
                <c:ptCount val="1"/>
                <c:pt idx="0">
                  <c:v>2020年1-9月</c:v>
                </c:pt>
              </c:strCache>
            </c:strRef>
          </c:tx>
          <c:invertIfNegative val="0"/>
          <c:cat>
            <c:strRef>
              <c:f>Sheet1!$B$425:$B$450</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Sheet1!$C$425:$C$450</c:f>
              <c:numCache>
                <c:formatCode>General</c:formatCode>
                <c:ptCount val="26"/>
                <c:pt idx="0">
                  <c:v>3963</c:v>
                </c:pt>
                <c:pt idx="1">
                  <c:v>151</c:v>
                </c:pt>
                <c:pt idx="2">
                  <c:v>7240</c:v>
                </c:pt>
                <c:pt idx="3">
                  <c:v>4539</c:v>
                </c:pt>
                <c:pt idx="4">
                  <c:v>6658</c:v>
                </c:pt>
                <c:pt idx="5">
                  <c:v>3624</c:v>
                </c:pt>
                <c:pt idx="6">
                  <c:v>0</c:v>
                </c:pt>
                <c:pt idx="7">
                  <c:v>11215</c:v>
                </c:pt>
                <c:pt idx="8">
                  <c:v>2148</c:v>
                </c:pt>
                <c:pt idx="9">
                  <c:v>223</c:v>
                </c:pt>
                <c:pt idx="10">
                  <c:v>7554</c:v>
                </c:pt>
                <c:pt idx="11">
                  <c:v>1824</c:v>
                </c:pt>
                <c:pt idx="12">
                  <c:v>667</c:v>
                </c:pt>
                <c:pt idx="13">
                  <c:v>357</c:v>
                </c:pt>
                <c:pt idx="14">
                  <c:v>614</c:v>
                </c:pt>
                <c:pt idx="15">
                  <c:v>192</c:v>
                </c:pt>
                <c:pt idx="16">
                  <c:v>2237</c:v>
                </c:pt>
                <c:pt idx="17">
                  <c:v>2</c:v>
                </c:pt>
                <c:pt idx="18">
                  <c:v>960</c:v>
                </c:pt>
                <c:pt idx="19">
                  <c:v>0</c:v>
                </c:pt>
                <c:pt idx="20">
                  <c:v>9</c:v>
                </c:pt>
                <c:pt idx="21">
                  <c:v>14</c:v>
                </c:pt>
                <c:pt idx="22">
                  <c:v>757</c:v>
                </c:pt>
                <c:pt idx="23">
                  <c:v>41</c:v>
                </c:pt>
                <c:pt idx="24">
                  <c:v>11</c:v>
                </c:pt>
                <c:pt idx="25">
                  <c:v>435</c:v>
                </c:pt>
              </c:numCache>
            </c:numRef>
          </c:val>
        </c:ser>
        <c:ser>
          <c:idx val="1"/>
          <c:order val="1"/>
          <c:tx>
            <c:strRef>
              <c:f>Sheet1!$D$424</c:f>
              <c:strCache>
                <c:ptCount val="1"/>
                <c:pt idx="0">
                  <c:v>份额</c:v>
                </c:pt>
              </c:strCache>
            </c:strRef>
          </c:tx>
          <c:invertIfNegative val="0"/>
          <c:cat>
            <c:strRef>
              <c:f>Sheet1!$B$425:$B$450</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Sheet1!$D$425:$D$450</c:f>
              <c:numCache>
                <c:formatCode>0.00%</c:formatCode>
                <c:ptCount val="26"/>
                <c:pt idx="0">
                  <c:v>7.1489131415170923E-2</c:v>
                </c:pt>
                <c:pt idx="1">
                  <c:v>2.7239108866239739E-3</c:v>
                </c:pt>
                <c:pt idx="2">
                  <c:v>0.13060340939839452</c:v>
                </c:pt>
                <c:pt idx="3">
                  <c:v>8.1879678903219982E-2</c:v>
                </c:pt>
                <c:pt idx="4">
                  <c:v>0.12010462704067827</c:v>
                </c:pt>
                <c:pt idx="5">
                  <c:v>6.5373861278975376E-2</c:v>
                </c:pt>
                <c:pt idx="6">
                  <c:v>0</c:v>
                </c:pt>
                <c:pt idx="7">
                  <c:v>0.20230901055289979</c:v>
                </c:pt>
                <c:pt idx="8">
                  <c:v>3.8748083340849643E-2</c:v>
                </c:pt>
                <c:pt idx="9">
                  <c:v>4.0227293226301076E-3</c:v>
                </c:pt>
                <c:pt idx="10">
                  <c:v>0.13626770091097681</c:v>
                </c:pt>
                <c:pt idx="11">
                  <c:v>3.2903400378822042E-2</c:v>
                </c:pt>
                <c:pt idx="12">
                  <c:v>1.2032109678001262E-2</c:v>
                </c:pt>
                <c:pt idx="13">
                  <c:v>6.4399747451970779E-3</c:v>
                </c:pt>
                <c:pt idx="14">
                  <c:v>1.1076034995941193E-2</c:v>
                </c:pt>
                <c:pt idx="15">
                  <c:v>3.4635158293496887E-3</c:v>
                </c:pt>
                <c:pt idx="16">
                  <c:v>4.0353567240912783E-2</c:v>
                </c:pt>
                <c:pt idx="17">
                  <c:v>3.6078289889059259E-5</c:v>
                </c:pt>
                <c:pt idx="18">
                  <c:v>1.7317579146748443E-2</c:v>
                </c:pt>
                <c:pt idx="19">
                  <c:v>0</c:v>
                </c:pt>
                <c:pt idx="20">
                  <c:v>1.6235230450076666E-4</c:v>
                </c:pt>
                <c:pt idx="21">
                  <c:v>2.5254802922341482E-4</c:v>
                </c:pt>
                <c:pt idx="22">
                  <c:v>1.365563272300893E-2</c:v>
                </c:pt>
                <c:pt idx="23">
                  <c:v>7.3960494272571481E-4</c:v>
                </c:pt>
                <c:pt idx="24">
                  <c:v>1.9843059438982592E-4</c:v>
                </c:pt>
                <c:pt idx="25">
                  <c:v>7.8470280508703884E-3</c:v>
                </c:pt>
              </c:numCache>
            </c:numRef>
          </c:val>
        </c:ser>
        <c:dLbls>
          <c:showLegendKey val="0"/>
          <c:showVal val="0"/>
          <c:showCatName val="0"/>
          <c:showSerName val="0"/>
          <c:showPercent val="0"/>
          <c:showBubbleSize val="0"/>
        </c:dLbls>
        <c:gapWidth val="150"/>
        <c:shape val="box"/>
        <c:axId val="608833536"/>
        <c:axId val="608835072"/>
        <c:axId val="0"/>
      </c:bar3DChart>
      <c:catAx>
        <c:axId val="608833536"/>
        <c:scaling>
          <c:orientation val="minMax"/>
        </c:scaling>
        <c:delete val="0"/>
        <c:axPos val="b"/>
        <c:majorTickMark val="none"/>
        <c:minorTickMark val="none"/>
        <c:tickLblPos val="nextTo"/>
        <c:crossAx val="608835072"/>
        <c:crosses val="autoZero"/>
        <c:auto val="1"/>
        <c:lblAlgn val="ctr"/>
        <c:lblOffset val="100"/>
        <c:noMultiLvlLbl val="0"/>
      </c:catAx>
      <c:valAx>
        <c:axId val="608835072"/>
        <c:scaling>
          <c:orientation val="minMax"/>
        </c:scaling>
        <c:delete val="0"/>
        <c:axPos val="l"/>
        <c:majorGridlines/>
        <c:numFmt formatCode="General" sourceLinked="1"/>
        <c:majorTickMark val="none"/>
        <c:minorTickMark val="none"/>
        <c:tickLblPos val="nextTo"/>
        <c:crossAx val="608833536"/>
        <c:crosses val="autoZero"/>
        <c:crossBetween val="between"/>
      </c:valAx>
      <c:dTable>
        <c:showHorzBorder val="1"/>
        <c:showVertBorder val="1"/>
        <c:showOutline val="1"/>
        <c:showKeys val="1"/>
        <c:txPr>
          <a:bodyPr/>
          <a:lstStyle/>
          <a:p>
            <a:pPr rtl="0">
              <a:defRPr sz="650" b="0" i="0" baseline="0"/>
            </a:pPr>
            <a:endParaRPr lang="zh-CN"/>
          </a:p>
        </c:txPr>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2020</a:t>
            </a:r>
            <a:r>
              <a:rPr lang="zh-CN"/>
              <a:t>年</a:t>
            </a:r>
            <a:r>
              <a:rPr lang="en-US" altLang="zh-CN"/>
              <a:t>1-9</a:t>
            </a:r>
            <a:r>
              <a:rPr lang="zh-CN" altLang="en-US"/>
              <a:t>月</a:t>
            </a:r>
            <a:r>
              <a:rPr lang="zh-CN"/>
              <a:t>各机构活动人数（人）</a:t>
            </a:r>
          </a:p>
        </c:rich>
      </c:tx>
      <c:overlay val="0"/>
    </c:title>
    <c:autoTitleDeleted val="0"/>
    <c:plotArea>
      <c:layout/>
      <c:barChart>
        <c:barDir val="col"/>
        <c:grouping val="clustered"/>
        <c:varyColors val="0"/>
        <c:ser>
          <c:idx val="0"/>
          <c:order val="0"/>
          <c:tx>
            <c:strRef>
              <c:f>Sheet1!$F$4</c:f>
              <c:strCache>
                <c:ptCount val="1"/>
                <c:pt idx="0">
                  <c:v>活动人数</c:v>
                </c:pt>
              </c:strCache>
            </c:strRef>
          </c:tx>
          <c:invertIfNegative val="0"/>
          <c:cat>
            <c:strRef>
              <c:f>Sheet1!$A$5:$A$30</c:f>
              <c:strCache>
                <c:ptCount val="26"/>
                <c:pt idx="0">
                  <c:v>中国人寿</c:v>
                </c:pt>
                <c:pt idx="1">
                  <c:v>太保寿险</c:v>
                </c:pt>
                <c:pt idx="2">
                  <c:v>平安寿险</c:v>
                </c:pt>
                <c:pt idx="3">
                  <c:v>泰康人寿</c:v>
                </c:pt>
                <c:pt idx="4">
                  <c:v>新华人寿</c:v>
                </c:pt>
                <c:pt idx="5">
                  <c:v>太平人寿</c:v>
                </c:pt>
                <c:pt idx="6">
                  <c:v>民生人寿</c:v>
                </c:pt>
                <c:pt idx="7">
                  <c:v>生命人寿</c:v>
                </c:pt>
                <c:pt idx="8">
                  <c:v>中荷人寿</c:v>
                </c:pt>
                <c:pt idx="9">
                  <c:v>农银人寿</c:v>
                </c:pt>
                <c:pt idx="10">
                  <c:v>人保健康</c:v>
                </c:pt>
                <c:pt idx="11">
                  <c:v>恒安标准</c:v>
                </c:pt>
                <c:pt idx="12">
                  <c:v>中意人寿</c:v>
                </c:pt>
                <c:pt idx="13">
                  <c:v>人保寿险</c:v>
                </c:pt>
                <c:pt idx="14">
                  <c:v>英大人寿</c:v>
                </c:pt>
                <c:pt idx="15">
                  <c:v>中英人寿</c:v>
                </c:pt>
                <c:pt idx="16">
                  <c:v>阳光人寿</c:v>
                </c:pt>
                <c:pt idx="17">
                  <c:v>合众人寿</c:v>
                </c:pt>
                <c:pt idx="18">
                  <c:v>百年人寿</c:v>
                </c:pt>
                <c:pt idx="19">
                  <c:v>光大永明</c:v>
                </c:pt>
                <c:pt idx="20">
                  <c:v>国华人寿</c:v>
                </c:pt>
                <c:pt idx="21">
                  <c:v>安邦人寿</c:v>
                </c:pt>
                <c:pt idx="22">
                  <c:v>和谐健康</c:v>
                </c:pt>
                <c:pt idx="23">
                  <c:v>建信人寿</c:v>
                </c:pt>
                <c:pt idx="24">
                  <c:v>华泰人寿</c:v>
                </c:pt>
                <c:pt idx="25">
                  <c:v>华汇人寿</c:v>
                </c:pt>
              </c:strCache>
            </c:strRef>
          </c:cat>
          <c:val>
            <c:numRef>
              <c:f>Sheet1!$F$5:$F$30</c:f>
              <c:numCache>
                <c:formatCode>0</c:formatCode>
                <c:ptCount val="26"/>
                <c:pt idx="0">
                  <c:v>322</c:v>
                </c:pt>
                <c:pt idx="1">
                  <c:v>234</c:v>
                </c:pt>
                <c:pt idx="2">
                  <c:v>593</c:v>
                </c:pt>
                <c:pt idx="3">
                  <c:v>267</c:v>
                </c:pt>
                <c:pt idx="4">
                  <c:v>453</c:v>
                </c:pt>
                <c:pt idx="5">
                  <c:v>367</c:v>
                </c:pt>
                <c:pt idx="6">
                  <c:v>61</c:v>
                </c:pt>
                <c:pt idx="7">
                  <c:v>78</c:v>
                </c:pt>
                <c:pt idx="8">
                  <c:v>42</c:v>
                </c:pt>
                <c:pt idx="9">
                  <c:v>0</c:v>
                </c:pt>
                <c:pt idx="10">
                  <c:v>48</c:v>
                </c:pt>
                <c:pt idx="11">
                  <c:v>97</c:v>
                </c:pt>
                <c:pt idx="12">
                  <c:v>36</c:v>
                </c:pt>
                <c:pt idx="13">
                  <c:v>162</c:v>
                </c:pt>
                <c:pt idx="14">
                  <c:v>174</c:v>
                </c:pt>
                <c:pt idx="15">
                  <c:v>47</c:v>
                </c:pt>
                <c:pt idx="16">
                  <c:v>84</c:v>
                </c:pt>
                <c:pt idx="17">
                  <c:v>52</c:v>
                </c:pt>
                <c:pt idx="18">
                  <c:v>26</c:v>
                </c:pt>
                <c:pt idx="19">
                  <c:v>0</c:v>
                </c:pt>
                <c:pt idx="20">
                  <c:v>0</c:v>
                </c:pt>
                <c:pt idx="21">
                  <c:v>0</c:v>
                </c:pt>
                <c:pt idx="22">
                  <c:v>0</c:v>
                </c:pt>
                <c:pt idx="23">
                  <c:v>23</c:v>
                </c:pt>
                <c:pt idx="24">
                  <c:v>45</c:v>
                </c:pt>
                <c:pt idx="25">
                  <c:v>0</c:v>
                </c:pt>
              </c:numCache>
            </c:numRef>
          </c:val>
        </c:ser>
        <c:dLbls>
          <c:showLegendKey val="0"/>
          <c:showVal val="0"/>
          <c:showCatName val="0"/>
          <c:showSerName val="0"/>
          <c:showPercent val="0"/>
          <c:showBubbleSize val="0"/>
        </c:dLbls>
        <c:gapWidth val="150"/>
        <c:axId val="608930432"/>
        <c:axId val="608985472"/>
      </c:barChart>
      <c:catAx>
        <c:axId val="608930432"/>
        <c:scaling>
          <c:orientation val="minMax"/>
        </c:scaling>
        <c:delete val="0"/>
        <c:axPos val="b"/>
        <c:majorTickMark val="none"/>
        <c:minorTickMark val="none"/>
        <c:tickLblPos val="nextTo"/>
        <c:crossAx val="608985472"/>
        <c:crosses val="autoZero"/>
        <c:auto val="1"/>
        <c:lblAlgn val="ctr"/>
        <c:lblOffset val="100"/>
        <c:noMultiLvlLbl val="0"/>
      </c:catAx>
      <c:valAx>
        <c:axId val="608985472"/>
        <c:scaling>
          <c:orientation val="minMax"/>
        </c:scaling>
        <c:delete val="0"/>
        <c:axPos val="l"/>
        <c:majorGridlines/>
        <c:numFmt formatCode="0" sourceLinked="1"/>
        <c:majorTickMark val="none"/>
        <c:minorTickMark val="none"/>
        <c:tickLblPos val="nextTo"/>
        <c:crossAx val="608930432"/>
        <c:crosses val="autoZero"/>
        <c:crossBetween val="between"/>
      </c:valAx>
      <c:dTable>
        <c:showHorzBorder val="1"/>
        <c:showVertBorder val="1"/>
        <c:showOutline val="1"/>
        <c:showKeys val="1"/>
        <c:txPr>
          <a:bodyPr/>
          <a:lstStyle/>
          <a:p>
            <a:pPr rtl="0">
              <a:defRPr sz="650" baseline="0"/>
            </a:pPr>
            <a:endParaRPr lang="zh-CN"/>
          </a:p>
        </c:txPr>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2020</a:t>
            </a:r>
            <a:r>
              <a:rPr lang="zh-CN" altLang="en-US"/>
              <a:t>年</a:t>
            </a:r>
            <a:r>
              <a:rPr lang="en-US" altLang="zh-CN"/>
              <a:t>1-9</a:t>
            </a:r>
            <a:r>
              <a:rPr lang="zh-CN" altLang="en-US"/>
              <a:t>月丹东各机构人力情况（人）</a:t>
            </a:r>
          </a:p>
        </c:rich>
      </c:tx>
      <c:overlay val="0"/>
    </c:title>
    <c:autoTitleDeleted val="0"/>
    <c:plotArea>
      <c:layout/>
      <c:lineChart>
        <c:grouping val="standard"/>
        <c:varyColors val="0"/>
        <c:ser>
          <c:idx val="0"/>
          <c:order val="0"/>
          <c:tx>
            <c:strRef>
              <c:f>Sheet1!$B$4</c:f>
              <c:strCache>
                <c:ptCount val="1"/>
                <c:pt idx="0">
                  <c:v>当月人力</c:v>
                </c:pt>
              </c:strCache>
            </c:strRef>
          </c:tx>
          <c:marker>
            <c:symbol val="none"/>
          </c:marker>
          <c:cat>
            <c:strRef>
              <c:f>Sheet1!$A$5:$A$30</c:f>
              <c:strCache>
                <c:ptCount val="26"/>
                <c:pt idx="0">
                  <c:v>中国人寿</c:v>
                </c:pt>
                <c:pt idx="1">
                  <c:v>太保寿险</c:v>
                </c:pt>
                <c:pt idx="2">
                  <c:v>平安寿险</c:v>
                </c:pt>
                <c:pt idx="3">
                  <c:v>泰康人寿</c:v>
                </c:pt>
                <c:pt idx="4">
                  <c:v>新华人寿</c:v>
                </c:pt>
                <c:pt idx="5">
                  <c:v>太平人寿</c:v>
                </c:pt>
                <c:pt idx="6">
                  <c:v>民生人寿</c:v>
                </c:pt>
                <c:pt idx="7">
                  <c:v>生命人寿</c:v>
                </c:pt>
                <c:pt idx="8">
                  <c:v>中荷人寿</c:v>
                </c:pt>
                <c:pt idx="9">
                  <c:v>农银人寿</c:v>
                </c:pt>
                <c:pt idx="10">
                  <c:v>人保健康</c:v>
                </c:pt>
                <c:pt idx="11">
                  <c:v>恒安标准</c:v>
                </c:pt>
                <c:pt idx="12">
                  <c:v>中意人寿</c:v>
                </c:pt>
                <c:pt idx="13">
                  <c:v>人保寿险</c:v>
                </c:pt>
                <c:pt idx="14">
                  <c:v>英大人寿</c:v>
                </c:pt>
                <c:pt idx="15">
                  <c:v>中英人寿</c:v>
                </c:pt>
                <c:pt idx="16">
                  <c:v>阳光人寿</c:v>
                </c:pt>
                <c:pt idx="17">
                  <c:v>合众人寿</c:v>
                </c:pt>
                <c:pt idx="18">
                  <c:v>百年人寿</c:v>
                </c:pt>
                <c:pt idx="19">
                  <c:v>光大永明</c:v>
                </c:pt>
                <c:pt idx="20">
                  <c:v>国华人寿</c:v>
                </c:pt>
                <c:pt idx="21">
                  <c:v>安邦人寿</c:v>
                </c:pt>
                <c:pt idx="22">
                  <c:v>和谐健康</c:v>
                </c:pt>
                <c:pt idx="23">
                  <c:v>建信人寿</c:v>
                </c:pt>
                <c:pt idx="24">
                  <c:v>华泰人寿</c:v>
                </c:pt>
                <c:pt idx="25">
                  <c:v>华汇人寿</c:v>
                </c:pt>
              </c:strCache>
            </c:strRef>
          </c:cat>
          <c:val>
            <c:numRef>
              <c:f>Sheet1!$B$5:$B$30</c:f>
              <c:numCache>
                <c:formatCode>0</c:formatCode>
                <c:ptCount val="26"/>
                <c:pt idx="0">
                  <c:v>1547</c:v>
                </c:pt>
                <c:pt idx="1">
                  <c:v>548</c:v>
                </c:pt>
                <c:pt idx="2">
                  <c:v>1104</c:v>
                </c:pt>
                <c:pt idx="3">
                  <c:v>2048</c:v>
                </c:pt>
                <c:pt idx="4">
                  <c:v>1382</c:v>
                </c:pt>
                <c:pt idx="5">
                  <c:v>1283</c:v>
                </c:pt>
                <c:pt idx="6">
                  <c:v>121</c:v>
                </c:pt>
                <c:pt idx="7">
                  <c:v>454</c:v>
                </c:pt>
                <c:pt idx="8">
                  <c:v>64</c:v>
                </c:pt>
                <c:pt idx="9">
                  <c:v>0</c:v>
                </c:pt>
                <c:pt idx="10">
                  <c:v>122</c:v>
                </c:pt>
                <c:pt idx="11">
                  <c:v>423</c:v>
                </c:pt>
                <c:pt idx="12">
                  <c:v>125</c:v>
                </c:pt>
                <c:pt idx="13">
                  <c:v>625</c:v>
                </c:pt>
                <c:pt idx="14">
                  <c:v>928</c:v>
                </c:pt>
                <c:pt idx="15">
                  <c:v>183</c:v>
                </c:pt>
                <c:pt idx="16">
                  <c:v>290</c:v>
                </c:pt>
                <c:pt idx="17">
                  <c:v>342</c:v>
                </c:pt>
                <c:pt idx="18">
                  <c:v>78</c:v>
                </c:pt>
                <c:pt idx="19">
                  <c:v>0</c:v>
                </c:pt>
                <c:pt idx="20">
                  <c:v>0</c:v>
                </c:pt>
                <c:pt idx="21">
                  <c:v>0</c:v>
                </c:pt>
                <c:pt idx="22">
                  <c:v>0</c:v>
                </c:pt>
                <c:pt idx="23">
                  <c:v>43</c:v>
                </c:pt>
                <c:pt idx="24">
                  <c:v>176</c:v>
                </c:pt>
                <c:pt idx="25">
                  <c:v>0</c:v>
                </c:pt>
              </c:numCache>
            </c:numRef>
          </c:val>
          <c:smooth val="0"/>
        </c:ser>
        <c:ser>
          <c:idx val="1"/>
          <c:order val="1"/>
          <c:tx>
            <c:strRef>
              <c:f>Sheet1!$C$4</c:f>
              <c:strCache>
                <c:ptCount val="1"/>
                <c:pt idx="0">
                  <c:v>累计净增</c:v>
                </c:pt>
              </c:strCache>
            </c:strRef>
          </c:tx>
          <c:marker>
            <c:symbol val="none"/>
          </c:marker>
          <c:cat>
            <c:strRef>
              <c:f>Sheet1!$A$5:$A$30</c:f>
              <c:strCache>
                <c:ptCount val="26"/>
                <c:pt idx="0">
                  <c:v>中国人寿</c:v>
                </c:pt>
                <c:pt idx="1">
                  <c:v>太保寿险</c:v>
                </c:pt>
                <c:pt idx="2">
                  <c:v>平安寿险</c:v>
                </c:pt>
                <c:pt idx="3">
                  <c:v>泰康人寿</c:v>
                </c:pt>
                <c:pt idx="4">
                  <c:v>新华人寿</c:v>
                </c:pt>
                <c:pt idx="5">
                  <c:v>太平人寿</c:v>
                </c:pt>
                <c:pt idx="6">
                  <c:v>民生人寿</c:v>
                </c:pt>
                <c:pt idx="7">
                  <c:v>生命人寿</c:v>
                </c:pt>
                <c:pt idx="8">
                  <c:v>中荷人寿</c:v>
                </c:pt>
                <c:pt idx="9">
                  <c:v>农银人寿</c:v>
                </c:pt>
                <c:pt idx="10">
                  <c:v>人保健康</c:v>
                </c:pt>
                <c:pt idx="11">
                  <c:v>恒安标准</c:v>
                </c:pt>
                <c:pt idx="12">
                  <c:v>中意人寿</c:v>
                </c:pt>
                <c:pt idx="13">
                  <c:v>人保寿险</c:v>
                </c:pt>
                <c:pt idx="14">
                  <c:v>英大人寿</c:v>
                </c:pt>
                <c:pt idx="15">
                  <c:v>中英人寿</c:v>
                </c:pt>
                <c:pt idx="16">
                  <c:v>阳光人寿</c:v>
                </c:pt>
                <c:pt idx="17">
                  <c:v>合众人寿</c:v>
                </c:pt>
                <c:pt idx="18">
                  <c:v>百年人寿</c:v>
                </c:pt>
                <c:pt idx="19">
                  <c:v>光大永明</c:v>
                </c:pt>
                <c:pt idx="20">
                  <c:v>国华人寿</c:v>
                </c:pt>
                <c:pt idx="21">
                  <c:v>安邦人寿</c:v>
                </c:pt>
                <c:pt idx="22">
                  <c:v>和谐健康</c:v>
                </c:pt>
                <c:pt idx="23">
                  <c:v>建信人寿</c:v>
                </c:pt>
                <c:pt idx="24">
                  <c:v>华泰人寿</c:v>
                </c:pt>
                <c:pt idx="25">
                  <c:v>华汇人寿</c:v>
                </c:pt>
              </c:strCache>
            </c:strRef>
          </c:cat>
          <c:val>
            <c:numRef>
              <c:f>Sheet1!$C$5:$C$30</c:f>
              <c:numCache>
                <c:formatCode>0</c:formatCode>
                <c:ptCount val="26"/>
                <c:pt idx="0">
                  <c:v>-36</c:v>
                </c:pt>
                <c:pt idx="1">
                  <c:v>-2</c:v>
                </c:pt>
                <c:pt idx="2">
                  <c:v>117</c:v>
                </c:pt>
                <c:pt idx="3">
                  <c:v>589</c:v>
                </c:pt>
                <c:pt idx="4">
                  <c:v>256</c:v>
                </c:pt>
                <c:pt idx="5">
                  <c:v>28</c:v>
                </c:pt>
                <c:pt idx="6">
                  <c:v>-37</c:v>
                </c:pt>
                <c:pt idx="7">
                  <c:v>-301</c:v>
                </c:pt>
                <c:pt idx="8">
                  <c:v>-2</c:v>
                </c:pt>
                <c:pt idx="9">
                  <c:v>0</c:v>
                </c:pt>
                <c:pt idx="10">
                  <c:v>-74</c:v>
                </c:pt>
                <c:pt idx="11">
                  <c:v>82</c:v>
                </c:pt>
                <c:pt idx="12">
                  <c:v>-6</c:v>
                </c:pt>
                <c:pt idx="13">
                  <c:v>84</c:v>
                </c:pt>
                <c:pt idx="14">
                  <c:v>230</c:v>
                </c:pt>
                <c:pt idx="15">
                  <c:v>-18</c:v>
                </c:pt>
                <c:pt idx="16">
                  <c:v>5</c:v>
                </c:pt>
                <c:pt idx="17">
                  <c:v>-99</c:v>
                </c:pt>
                <c:pt idx="18">
                  <c:v>-30</c:v>
                </c:pt>
                <c:pt idx="19">
                  <c:v>0</c:v>
                </c:pt>
                <c:pt idx="20">
                  <c:v>0</c:v>
                </c:pt>
                <c:pt idx="21">
                  <c:v>0</c:v>
                </c:pt>
                <c:pt idx="22">
                  <c:v>0</c:v>
                </c:pt>
                <c:pt idx="23">
                  <c:v>-11</c:v>
                </c:pt>
                <c:pt idx="24">
                  <c:v>-2</c:v>
                </c:pt>
                <c:pt idx="25">
                  <c:v>0</c:v>
                </c:pt>
              </c:numCache>
            </c:numRef>
          </c:val>
          <c:smooth val="0"/>
        </c:ser>
        <c:ser>
          <c:idx val="2"/>
          <c:order val="2"/>
          <c:tx>
            <c:strRef>
              <c:f>Sheet1!$D$4</c:f>
              <c:strCache>
                <c:ptCount val="1"/>
                <c:pt idx="0">
                  <c:v>持证人力</c:v>
                </c:pt>
              </c:strCache>
            </c:strRef>
          </c:tx>
          <c:marker>
            <c:symbol val="none"/>
          </c:marker>
          <c:cat>
            <c:strRef>
              <c:f>Sheet1!$A$5:$A$30</c:f>
              <c:strCache>
                <c:ptCount val="26"/>
                <c:pt idx="0">
                  <c:v>中国人寿</c:v>
                </c:pt>
                <c:pt idx="1">
                  <c:v>太保寿险</c:v>
                </c:pt>
                <c:pt idx="2">
                  <c:v>平安寿险</c:v>
                </c:pt>
                <c:pt idx="3">
                  <c:v>泰康人寿</c:v>
                </c:pt>
                <c:pt idx="4">
                  <c:v>新华人寿</c:v>
                </c:pt>
                <c:pt idx="5">
                  <c:v>太平人寿</c:v>
                </c:pt>
                <c:pt idx="6">
                  <c:v>民生人寿</c:v>
                </c:pt>
                <c:pt idx="7">
                  <c:v>生命人寿</c:v>
                </c:pt>
                <c:pt idx="8">
                  <c:v>中荷人寿</c:v>
                </c:pt>
                <c:pt idx="9">
                  <c:v>农银人寿</c:v>
                </c:pt>
                <c:pt idx="10">
                  <c:v>人保健康</c:v>
                </c:pt>
                <c:pt idx="11">
                  <c:v>恒安标准</c:v>
                </c:pt>
                <c:pt idx="12">
                  <c:v>中意人寿</c:v>
                </c:pt>
                <c:pt idx="13">
                  <c:v>人保寿险</c:v>
                </c:pt>
                <c:pt idx="14">
                  <c:v>英大人寿</c:v>
                </c:pt>
                <c:pt idx="15">
                  <c:v>中英人寿</c:v>
                </c:pt>
                <c:pt idx="16">
                  <c:v>阳光人寿</c:v>
                </c:pt>
                <c:pt idx="17">
                  <c:v>合众人寿</c:v>
                </c:pt>
                <c:pt idx="18">
                  <c:v>百年人寿</c:v>
                </c:pt>
                <c:pt idx="19">
                  <c:v>光大永明</c:v>
                </c:pt>
                <c:pt idx="20">
                  <c:v>国华人寿</c:v>
                </c:pt>
                <c:pt idx="21">
                  <c:v>安邦人寿</c:v>
                </c:pt>
                <c:pt idx="22">
                  <c:v>和谐健康</c:v>
                </c:pt>
                <c:pt idx="23">
                  <c:v>建信人寿</c:v>
                </c:pt>
                <c:pt idx="24">
                  <c:v>华泰人寿</c:v>
                </c:pt>
                <c:pt idx="25">
                  <c:v>华汇人寿</c:v>
                </c:pt>
              </c:strCache>
            </c:strRef>
          </c:cat>
          <c:val>
            <c:numRef>
              <c:f>Sheet1!$D$5:$D$30</c:f>
              <c:numCache>
                <c:formatCode>0</c:formatCode>
                <c:ptCount val="26"/>
                <c:pt idx="0">
                  <c:v>1547</c:v>
                </c:pt>
                <c:pt idx="1">
                  <c:v>548</c:v>
                </c:pt>
                <c:pt idx="2">
                  <c:v>1104</c:v>
                </c:pt>
                <c:pt idx="3">
                  <c:v>2048</c:v>
                </c:pt>
                <c:pt idx="4">
                  <c:v>85</c:v>
                </c:pt>
                <c:pt idx="5">
                  <c:v>1283</c:v>
                </c:pt>
                <c:pt idx="6">
                  <c:v>121</c:v>
                </c:pt>
                <c:pt idx="7">
                  <c:v>454</c:v>
                </c:pt>
                <c:pt idx="8">
                  <c:v>64</c:v>
                </c:pt>
                <c:pt idx="9">
                  <c:v>0</c:v>
                </c:pt>
                <c:pt idx="10">
                  <c:v>122</c:v>
                </c:pt>
                <c:pt idx="11">
                  <c:v>423</c:v>
                </c:pt>
                <c:pt idx="12">
                  <c:v>125</c:v>
                </c:pt>
                <c:pt idx="13">
                  <c:v>625</c:v>
                </c:pt>
                <c:pt idx="14">
                  <c:v>928</c:v>
                </c:pt>
                <c:pt idx="15">
                  <c:v>183</c:v>
                </c:pt>
                <c:pt idx="16">
                  <c:v>290</c:v>
                </c:pt>
                <c:pt idx="17">
                  <c:v>342</c:v>
                </c:pt>
                <c:pt idx="18">
                  <c:v>78</c:v>
                </c:pt>
                <c:pt idx="19">
                  <c:v>0</c:v>
                </c:pt>
                <c:pt idx="20">
                  <c:v>0</c:v>
                </c:pt>
                <c:pt idx="21">
                  <c:v>0</c:v>
                </c:pt>
                <c:pt idx="22">
                  <c:v>0</c:v>
                </c:pt>
                <c:pt idx="23">
                  <c:v>43</c:v>
                </c:pt>
                <c:pt idx="24">
                  <c:v>176</c:v>
                </c:pt>
                <c:pt idx="25">
                  <c:v>0</c:v>
                </c:pt>
              </c:numCache>
            </c:numRef>
          </c:val>
          <c:smooth val="0"/>
        </c:ser>
        <c:dLbls>
          <c:showLegendKey val="0"/>
          <c:showVal val="0"/>
          <c:showCatName val="0"/>
          <c:showSerName val="0"/>
          <c:showPercent val="0"/>
          <c:showBubbleSize val="0"/>
        </c:dLbls>
        <c:marker val="1"/>
        <c:smooth val="0"/>
        <c:axId val="608918528"/>
        <c:axId val="608920320"/>
      </c:lineChart>
      <c:catAx>
        <c:axId val="608918528"/>
        <c:scaling>
          <c:orientation val="minMax"/>
        </c:scaling>
        <c:delete val="0"/>
        <c:axPos val="b"/>
        <c:majorTickMark val="none"/>
        <c:minorTickMark val="none"/>
        <c:tickLblPos val="nextTo"/>
        <c:crossAx val="608920320"/>
        <c:crosses val="autoZero"/>
        <c:auto val="1"/>
        <c:lblAlgn val="ctr"/>
        <c:lblOffset val="100"/>
        <c:noMultiLvlLbl val="0"/>
      </c:catAx>
      <c:valAx>
        <c:axId val="608920320"/>
        <c:scaling>
          <c:orientation val="minMax"/>
        </c:scaling>
        <c:delete val="0"/>
        <c:axPos val="l"/>
        <c:majorGridlines/>
        <c:title>
          <c:overlay val="0"/>
        </c:title>
        <c:numFmt formatCode="0" sourceLinked="1"/>
        <c:majorTickMark val="none"/>
        <c:minorTickMark val="none"/>
        <c:tickLblPos val="nextTo"/>
        <c:crossAx val="608918528"/>
        <c:crosses val="autoZero"/>
        <c:crossBetween val="between"/>
      </c:valAx>
      <c:dTable>
        <c:showHorzBorder val="1"/>
        <c:showVertBorder val="1"/>
        <c:showOutline val="1"/>
        <c:showKeys val="1"/>
        <c:txPr>
          <a:bodyPr/>
          <a:lstStyle/>
          <a:p>
            <a:pPr rtl="0">
              <a:defRPr sz="650" baseline="0"/>
            </a:pPr>
            <a:endParaRPr lang="zh-CN"/>
          </a:p>
        </c:txPr>
      </c:dTable>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ltLang="zh-CN"/>
              <a:t>2020</a:t>
            </a:r>
            <a:r>
              <a:rPr lang="zh-CN" altLang="en-US"/>
              <a:t>年</a:t>
            </a:r>
            <a:r>
              <a:rPr lang="en-US" altLang="zh-CN"/>
              <a:t>1-9</a:t>
            </a:r>
            <a:r>
              <a:rPr lang="zh-CN" altLang="en-US"/>
              <a:t>月各机构人均产能（元）</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Sheet1!$E$4</c:f>
              <c:strCache>
                <c:ptCount val="1"/>
                <c:pt idx="0">
                  <c:v>人均产能</c:v>
                </c:pt>
              </c:strCache>
            </c:strRef>
          </c:tx>
          <c:invertIfNegative val="0"/>
          <c:cat>
            <c:strRef>
              <c:f>Sheet1!$A$5:$A$30</c:f>
              <c:strCache>
                <c:ptCount val="26"/>
                <c:pt idx="0">
                  <c:v>中国人寿</c:v>
                </c:pt>
                <c:pt idx="1">
                  <c:v>太保寿险</c:v>
                </c:pt>
                <c:pt idx="2">
                  <c:v>平安寿险</c:v>
                </c:pt>
                <c:pt idx="3">
                  <c:v>泰康人寿</c:v>
                </c:pt>
                <c:pt idx="4">
                  <c:v>新华人寿</c:v>
                </c:pt>
                <c:pt idx="5">
                  <c:v>太平人寿</c:v>
                </c:pt>
                <c:pt idx="6">
                  <c:v>民生人寿</c:v>
                </c:pt>
                <c:pt idx="7">
                  <c:v>生命人寿</c:v>
                </c:pt>
                <c:pt idx="8">
                  <c:v>中荷人寿</c:v>
                </c:pt>
                <c:pt idx="9">
                  <c:v>农银人寿</c:v>
                </c:pt>
                <c:pt idx="10">
                  <c:v>人保健康</c:v>
                </c:pt>
                <c:pt idx="11">
                  <c:v>恒安标准</c:v>
                </c:pt>
                <c:pt idx="12">
                  <c:v>中意人寿</c:v>
                </c:pt>
                <c:pt idx="13">
                  <c:v>人保寿险</c:v>
                </c:pt>
                <c:pt idx="14">
                  <c:v>英大人寿</c:v>
                </c:pt>
                <c:pt idx="15">
                  <c:v>中英人寿</c:v>
                </c:pt>
                <c:pt idx="16">
                  <c:v>阳光人寿</c:v>
                </c:pt>
                <c:pt idx="17">
                  <c:v>合众人寿</c:v>
                </c:pt>
                <c:pt idx="18">
                  <c:v>百年人寿</c:v>
                </c:pt>
                <c:pt idx="19">
                  <c:v>光大永明</c:v>
                </c:pt>
                <c:pt idx="20">
                  <c:v>国华人寿</c:v>
                </c:pt>
                <c:pt idx="21">
                  <c:v>安邦人寿</c:v>
                </c:pt>
                <c:pt idx="22">
                  <c:v>和谐健康</c:v>
                </c:pt>
                <c:pt idx="23">
                  <c:v>建信人寿</c:v>
                </c:pt>
                <c:pt idx="24">
                  <c:v>华泰人寿</c:v>
                </c:pt>
                <c:pt idx="25">
                  <c:v>华汇人寿</c:v>
                </c:pt>
              </c:strCache>
            </c:strRef>
          </c:cat>
          <c:val>
            <c:numRef>
              <c:f>Sheet1!$E$5:$E$30</c:f>
              <c:numCache>
                <c:formatCode>#0.00</c:formatCode>
                <c:ptCount val="26"/>
                <c:pt idx="0">
                  <c:v>9536.0224999999991</c:v>
                </c:pt>
                <c:pt idx="1">
                  <c:v>6263.7596000000003</c:v>
                </c:pt>
                <c:pt idx="2">
                  <c:v>8445.5853999999999</c:v>
                </c:pt>
                <c:pt idx="3">
                  <c:v>11074.16</c:v>
                </c:pt>
                <c:pt idx="4">
                  <c:v>8221.0221000000001</c:v>
                </c:pt>
                <c:pt idx="5">
                  <c:v>4029.4016999999999</c:v>
                </c:pt>
                <c:pt idx="6">
                  <c:v>8778.7144000000008</c:v>
                </c:pt>
                <c:pt idx="7">
                  <c:v>56005.461499999998</c:v>
                </c:pt>
                <c:pt idx="8">
                  <c:v>19687.2824</c:v>
                </c:pt>
                <c:pt idx="9">
                  <c:v>0</c:v>
                </c:pt>
                <c:pt idx="10">
                  <c:v>4192</c:v>
                </c:pt>
                <c:pt idx="11">
                  <c:v>8374.6803999999993</c:v>
                </c:pt>
                <c:pt idx="12">
                  <c:v>9418.6618999999992</c:v>
                </c:pt>
                <c:pt idx="13">
                  <c:v>5080.4186</c:v>
                </c:pt>
                <c:pt idx="14">
                  <c:v>4464.0262000000002</c:v>
                </c:pt>
                <c:pt idx="15">
                  <c:v>15678.8</c:v>
                </c:pt>
                <c:pt idx="16">
                  <c:v>14537.568600000001</c:v>
                </c:pt>
                <c:pt idx="17">
                  <c:v>4396.18</c:v>
                </c:pt>
                <c:pt idx="18">
                  <c:v>9973.15</c:v>
                </c:pt>
                <c:pt idx="19">
                  <c:v>0</c:v>
                </c:pt>
                <c:pt idx="20">
                  <c:v>0</c:v>
                </c:pt>
                <c:pt idx="21">
                  <c:v>0</c:v>
                </c:pt>
                <c:pt idx="22">
                  <c:v>0</c:v>
                </c:pt>
                <c:pt idx="23">
                  <c:v>5467.73</c:v>
                </c:pt>
                <c:pt idx="24">
                  <c:v>25476</c:v>
                </c:pt>
                <c:pt idx="25">
                  <c:v>0</c:v>
                </c:pt>
              </c:numCache>
            </c:numRef>
          </c:val>
        </c:ser>
        <c:dLbls>
          <c:showLegendKey val="0"/>
          <c:showVal val="0"/>
          <c:showCatName val="0"/>
          <c:showSerName val="0"/>
          <c:showPercent val="0"/>
          <c:showBubbleSize val="0"/>
        </c:dLbls>
        <c:gapWidth val="150"/>
        <c:shape val="box"/>
        <c:axId val="608938624"/>
        <c:axId val="608944512"/>
        <c:axId val="0"/>
      </c:bar3DChart>
      <c:catAx>
        <c:axId val="608938624"/>
        <c:scaling>
          <c:orientation val="minMax"/>
        </c:scaling>
        <c:delete val="0"/>
        <c:axPos val="b"/>
        <c:majorTickMark val="out"/>
        <c:minorTickMark val="none"/>
        <c:tickLblPos val="nextTo"/>
        <c:txPr>
          <a:bodyPr/>
          <a:lstStyle/>
          <a:p>
            <a:pPr>
              <a:defRPr sz="600" b="0" i="0" baseline="0"/>
            </a:pPr>
            <a:endParaRPr lang="zh-CN"/>
          </a:p>
        </c:txPr>
        <c:crossAx val="608944512"/>
        <c:crosses val="autoZero"/>
        <c:auto val="1"/>
        <c:lblAlgn val="ctr"/>
        <c:lblOffset val="100"/>
        <c:noMultiLvlLbl val="0"/>
      </c:catAx>
      <c:valAx>
        <c:axId val="608944512"/>
        <c:scaling>
          <c:orientation val="minMax"/>
        </c:scaling>
        <c:delete val="0"/>
        <c:axPos val="l"/>
        <c:majorGridlines/>
        <c:numFmt formatCode="#0.00" sourceLinked="1"/>
        <c:majorTickMark val="out"/>
        <c:minorTickMark val="none"/>
        <c:tickLblPos val="nextTo"/>
        <c:crossAx val="608938624"/>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2020</a:t>
            </a:r>
            <a:r>
              <a:rPr lang="zh-CN" altLang="en-US"/>
              <a:t>年</a:t>
            </a:r>
            <a:r>
              <a:rPr lang="en-US" altLang="zh-CN"/>
              <a:t>1-9</a:t>
            </a:r>
            <a:r>
              <a:rPr lang="zh-CN" altLang="en-US"/>
              <a:t>月县域机构保费同期情况（万元）</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Sheet1!$C$181</c:f>
              <c:strCache>
                <c:ptCount val="1"/>
                <c:pt idx="0">
                  <c:v>2019年1-9月</c:v>
                </c:pt>
              </c:strCache>
            </c:strRef>
          </c:tx>
          <c:invertIfNegative val="0"/>
          <c:cat>
            <c:strRef>
              <c:f>Sheet1!$B$182:$B$184</c:f>
              <c:strCache>
                <c:ptCount val="3"/>
                <c:pt idx="0">
                  <c:v>东港</c:v>
                </c:pt>
                <c:pt idx="1">
                  <c:v>凤城</c:v>
                </c:pt>
                <c:pt idx="2">
                  <c:v>宽甸</c:v>
                </c:pt>
              </c:strCache>
            </c:strRef>
          </c:cat>
          <c:val>
            <c:numRef>
              <c:f>Sheet1!$C$182:$C$184</c:f>
              <c:numCache>
                <c:formatCode>General</c:formatCode>
                <c:ptCount val="3"/>
                <c:pt idx="0">
                  <c:v>65319</c:v>
                </c:pt>
                <c:pt idx="1">
                  <c:v>18039</c:v>
                </c:pt>
                <c:pt idx="2">
                  <c:v>12003</c:v>
                </c:pt>
              </c:numCache>
            </c:numRef>
          </c:val>
        </c:ser>
        <c:ser>
          <c:idx val="1"/>
          <c:order val="1"/>
          <c:tx>
            <c:strRef>
              <c:f>Sheet1!$D$181</c:f>
              <c:strCache>
                <c:ptCount val="1"/>
                <c:pt idx="0">
                  <c:v>2020年1-9月</c:v>
                </c:pt>
              </c:strCache>
            </c:strRef>
          </c:tx>
          <c:invertIfNegative val="0"/>
          <c:cat>
            <c:strRef>
              <c:f>Sheet1!$B$182:$B$184</c:f>
              <c:strCache>
                <c:ptCount val="3"/>
                <c:pt idx="0">
                  <c:v>东港</c:v>
                </c:pt>
                <c:pt idx="1">
                  <c:v>凤城</c:v>
                </c:pt>
                <c:pt idx="2">
                  <c:v>宽甸</c:v>
                </c:pt>
              </c:strCache>
            </c:strRef>
          </c:cat>
          <c:val>
            <c:numRef>
              <c:f>Sheet1!$D$182:$D$184</c:f>
              <c:numCache>
                <c:formatCode>General</c:formatCode>
                <c:ptCount val="3"/>
                <c:pt idx="0">
                  <c:v>61365</c:v>
                </c:pt>
                <c:pt idx="1">
                  <c:v>19840</c:v>
                </c:pt>
                <c:pt idx="2">
                  <c:v>13463</c:v>
                </c:pt>
              </c:numCache>
            </c:numRef>
          </c:val>
        </c:ser>
        <c:dLbls>
          <c:showLegendKey val="0"/>
          <c:showVal val="0"/>
          <c:showCatName val="0"/>
          <c:showSerName val="0"/>
          <c:showPercent val="0"/>
          <c:showBubbleSize val="0"/>
        </c:dLbls>
        <c:gapWidth val="150"/>
        <c:shape val="cylinder"/>
        <c:axId val="609142272"/>
        <c:axId val="609143808"/>
        <c:axId val="0"/>
      </c:bar3DChart>
      <c:catAx>
        <c:axId val="609142272"/>
        <c:scaling>
          <c:orientation val="minMax"/>
        </c:scaling>
        <c:delete val="0"/>
        <c:axPos val="b"/>
        <c:majorTickMark val="none"/>
        <c:minorTickMark val="none"/>
        <c:tickLblPos val="nextTo"/>
        <c:crossAx val="609143808"/>
        <c:crosses val="autoZero"/>
        <c:auto val="1"/>
        <c:lblAlgn val="ctr"/>
        <c:lblOffset val="100"/>
        <c:noMultiLvlLbl val="0"/>
      </c:catAx>
      <c:valAx>
        <c:axId val="609143808"/>
        <c:scaling>
          <c:orientation val="minMax"/>
        </c:scaling>
        <c:delete val="0"/>
        <c:axPos val="l"/>
        <c:majorGridlines/>
        <c:numFmt formatCode="General" sourceLinked="1"/>
        <c:majorTickMark val="none"/>
        <c:minorTickMark val="none"/>
        <c:tickLblPos val="nextTo"/>
        <c:crossAx val="6091422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ltLang="zh-CN"/>
              <a:t>2020</a:t>
            </a:r>
            <a:r>
              <a:rPr lang="zh-CN" altLang="en-US"/>
              <a:t>年</a:t>
            </a:r>
            <a:r>
              <a:rPr lang="en-US" altLang="zh-CN"/>
              <a:t>1-9</a:t>
            </a:r>
            <a:r>
              <a:rPr lang="zh-CN" altLang="en-US"/>
              <a:t>月各机构新单保费情况（万元）</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Sheet1!$C$196</c:f>
              <c:strCache>
                <c:ptCount val="1"/>
                <c:pt idx="0">
                  <c:v>2019年1-9月</c:v>
                </c:pt>
              </c:strCache>
            </c:strRef>
          </c:tx>
          <c:invertIfNegative val="0"/>
          <c:cat>
            <c:strRef>
              <c:f>Sheet1!$B$197:$B$222</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Sheet1!$C$197:$C$222</c:f>
              <c:numCache>
                <c:formatCode>General</c:formatCode>
                <c:ptCount val="26"/>
                <c:pt idx="0">
                  <c:v>25085</c:v>
                </c:pt>
                <c:pt idx="1">
                  <c:v>2047</c:v>
                </c:pt>
                <c:pt idx="2">
                  <c:v>7184</c:v>
                </c:pt>
                <c:pt idx="3">
                  <c:v>2932</c:v>
                </c:pt>
                <c:pt idx="4">
                  <c:v>6840</c:v>
                </c:pt>
                <c:pt idx="5">
                  <c:v>3717</c:v>
                </c:pt>
                <c:pt idx="6">
                  <c:v>1058</c:v>
                </c:pt>
                <c:pt idx="7">
                  <c:v>10261</c:v>
                </c:pt>
                <c:pt idx="8">
                  <c:v>5188</c:v>
                </c:pt>
                <c:pt idx="9">
                  <c:v>3869</c:v>
                </c:pt>
                <c:pt idx="10">
                  <c:v>3363</c:v>
                </c:pt>
                <c:pt idx="11">
                  <c:v>11865</c:v>
                </c:pt>
                <c:pt idx="12">
                  <c:v>1902</c:v>
                </c:pt>
                <c:pt idx="13">
                  <c:v>1300</c:v>
                </c:pt>
                <c:pt idx="14">
                  <c:v>4821</c:v>
                </c:pt>
                <c:pt idx="15">
                  <c:v>1380</c:v>
                </c:pt>
                <c:pt idx="16">
                  <c:v>2480</c:v>
                </c:pt>
                <c:pt idx="17">
                  <c:v>3</c:v>
                </c:pt>
                <c:pt idx="18">
                  <c:v>2009</c:v>
                </c:pt>
                <c:pt idx="19">
                  <c:v>6</c:v>
                </c:pt>
                <c:pt idx="20">
                  <c:v>13067</c:v>
                </c:pt>
                <c:pt idx="21">
                  <c:v>2027</c:v>
                </c:pt>
                <c:pt idx="22">
                  <c:v>949</c:v>
                </c:pt>
                <c:pt idx="23">
                  <c:v>6889</c:v>
                </c:pt>
                <c:pt idx="24">
                  <c:v>4</c:v>
                </c:pt>
                <c:pt idx="25">
                  <c:v>506</c:v>
                </c:pt>
              </c:numCache>
            </c:numRef>
          </c:val>
        </c:ser>
        <c:ser>
          <c:idx val="1"/>
          <c:order val="1"/>
          <c:tx>
            <c:strRef>
              <c:f>Sheet1!$D$196</c:f>
              <c:strCache>
                <c:ptCount val="1"/>
                <c:pt idx="0">
                  <c:v>2020年1-9月</c:v>
                </c:pt>
              </c:strCache>
            </c:strRef>
          </c:tx>
          <c:invertIfNegative val="0"/>
          <c:cat>
            <c:strRef>
              <c:f>Sheet1!$B$197:$B$222</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Sheet1!$D$197:$D$222</c:f>
              <c:numCache>
                <c:formatCode>General</c:formatCode>
                <c:ptCount val="26"/>
                <c:pt idx="0">
                  <c:v>14659</c:v>
                </c:pt>
                <c:pt idx="1">
                  <c:v>1959</c:v>
                </c:pt>
                <c:pt idx="2">
                  <c:v>7738</c:v>
                </c:pt>
                <c:pt idx="3">
                  <c:v>2780</c:v>
                </c:pt>
                <c:pt idx="4">
                  <c:v>3960</c:v>
                </c:pt>
                <c:pt idx="5">
                  <c:v>6310</c:v>
                </c:pt>
                <c:pt idx="6">
                  <c:v>783</c:v>
                </c:pt>
                <c:pt idx="7">
                  <c:v>11148</c:v>
                </c:pt>
                <c:pt idx="8">
                  <c:v>3733</c:v>
                </c:pt>
                <c:pt idx="9">
                  <c:v>3635</c:v>
                </c:pt>
                <c:pt idx="10">
                  <c:v>4311</c:v>
                </c:pt>
                <c:pt idx="11">
                  <c:v>10670</c:v>
                </c:pt>
                <c:pt idx="12">
                  <c:v>4840</c:v>
                </c:pt>
                <c:pt idx="13">
                  <c:v>1362</c:v>
                </c:pt>
                <c:pt idx="14">
                  <c:v>6813</c:v>
                </c:pt>
                <c:pt idx="15">
                  <c:v>676</c:v>
                </c:pt>
                <c:pt idx="16">
                  <c:v>1781</c:v>
                </c:pt>
                <c:pt idx="17">
                  <c:v>2</c:v>
                </c:pt>
                <c:pt idx="18">
                  <c:v>3087</c:v>
                </c:pt>
                <c:pt idx="19">
                  <c:v>2756</c:v>
                </c:pt>
                <c:pt idx="20">
                  <c:v>6593</c:v>
                </c:pt>
                <c:pt idx="21">
                  <c:v>1105</c:v>
                </c:pt>
                <c:pt idx="22">
                  <c:v>929</c:v>
                </c:pt>
                <c:pt idx="23">
                  <c:v>7207</c:v>
                </c:pt>
                <c:pt idx="24">
                  <c:v>11</c:v>
                </c:pt>
                <c:pt idx="25">
                  <c:v>461</c:v>
                </c:pt>
              </c:numCache>
            </c:numRef>
          </c:val>
        </c:ser>
        <c:dLbls>
          <c:showLegendKey val="0"/>
          <c:showVal val="0"/>
          <c:showCatName val="0"/>
          <c:showSerName val="0"/>
          <c:showPercent val="0"/>
          <c:showBubbleSize val="0"/>
        </c:dLbls>
        <c:gapWidth val="150"/>
        <c:shape val="box"/>
        <c:axId val="491500672"/>
        <c:axId val="491502208"/>
        <c:axId val="0"/>
      </c:bar3DChart>
      <c:catAx>
        <c:axId val="491500672"/>
        <c:scaling>
          <c:orientation val="minMax"/>
        </c:scaling>
        <c:delete val="0"/>
        <c:axPos val="b"/>
        <c:majorTickMark val="none"/>
        <c:minorTickMark val="none"/>
        <c:tickLblPos val="nextTo"/>
        <c:crossAx val="491502208"/>
        <c:crosses val="autoZero"/>
        <c:auto val="1"/>
        <c:lblAlgn val="ctr"/>
        <c:lblOffset val="100"/>
        <c:noMultiLvlLbl val="0"/>
      </c:catAx>
      <c:valAx>
        <c:axId val="491502208"/>
        <c:scaling>
          <c:orientation val="minMax"/>
        </c:scaling>
        <c:delete val="0"/>
        <c:axPos val="l"/>
        <c:majorGridlines/>
        <c:numFmt formatCode="General" sourceLinked="1"/>
        <c:majorTickMark val="none"/>
        <c:minorTickMark val="none"/>
        <c:tickLblPos val="nextTo"/>
        <c:crossAx val="491500672"/>
        <c:crosses val="autoZero"/>
        <c:crossBetween val="between"/>
      </c:valAx>
      <c:dTable>
        <c:showHorzBorder val="1"/>
        <c:showVertBorder val="1"/>
        <c:showOutline val="1"/>
        <c:showKeys val="1"/>
        <c:txPr>
          <a:bodyPr/>
          <a:lstStyle/>
          <a:p>
            <a:pPr rtl="0">
              <a:defRPr sz="650" baseline="0"/>
            </a:pPr>
            <a:endParaRPr lang="zh-CN"/>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en-US"/>
              <a:t>2020</a:t>
            </a:r>
            <a:r>
              <a:rPr lang="zh-CN" altLang="en-US"/>
              <a:t>年</a:t>
            </a:r>
            <a:r>
              <a:rPr lang="en-US" altLang="zh-CN"/>
              <a:t>1-9</a:t>
            </a:r>
            <a:r>
              <a:rPr lang="zh-CN" altLang="en-US"/>
              <a:t>月各机构市场份额（</a:t>
            </a:r>
            <a:r>
              <a:rPr lang="en-US" altLang="zh-CN"/>
              <a:t>%</a:t>
            </a:r>
            <a:r>
              <a:rPr lang="zh-CN" altLang="en-US"/>
              <a:t>）</a:t>
            </a:r>
            <a:endParaRPr lang="en-US" alt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Sheet1!$G$71</c:f>
              <c:strCache>
                <c:ptCount val="1"/>
                <c:pt idx="0">
                  <c:v>2019年1-9月</c:v>
                </c:pt>
              </c:strCache>
            </c:strRef>
          </c:tx>
          <c:invertIfNegative val="0"/>
          <c:cat>
            <c:strRef>
              <c:f>Sheet1!$F$72:$F$97</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Sheet1!$G$72:$G$97</c:f>
              <c:numCache>
                <c:formatCode>0.0%</c:formatCode>
                <c:ptCount val="26"/>
                <c:pt idx="0">
                  <c:v>0.21</c:v>
                </c:pt>
                <c:pt idx="1">
                  <c:v>4.0599999999999997E-2</c:v>
                </c:pt>
                <c:pt idx="2">
                  <c:v>0.11210000000000001</c:v>
                </c:pt>
                <c:pt idx="3">
                  <c:v>5.6399999999999999E-2</c:v>
                </c:pt>
                <c:pt idx="4">
                  <c:v>8.8800000000000004E-2</c:v>
                </c:pt>
                <c:pt idx="5">
                  <c:v>6.4699999999999994E-2</c:v>
                </c:pt>
                <c:pt idx="6">
                  <c:v>1.9E-2</c:v>
                </c:pt>
                <c:pt idx="7">
                  <c:v>3.8899999999999997E-2</c:v>
                </c:pt>
                <c:pt idx="8">
                  <c:v>4.3400000000000001E-2</c:v>
                </c:pt>
                <c:pt idx="9">
                  <c:v>2.7799999999999998E-2</c:v>
                </c:pt>
                <c:pt idx="10">
                  <c:v>4.0899999999999999E-2</c:v>
                </c:pt>
                <c:pt idx="11">
                  <c:v>5.0599999999999999E-2</c:v>
                </c:pt>
                <c:pt idx="12">
                  <c:v>1.67E-2</c:v>
                </c:pt>
                <c:pt idx="13">
                  <c:v>8.5000000000000006E-3</c:v>
                </c:pt>
                <c:pt idx="14">
                  <c:v>3.1199999999999999E-2</c:v>
                </c:pt>
                <c:pt idx="15">
                  <c:v>9.9000000000000008E-3</c:v>
                </c:pt>
                <c:pt idx="16">
                  <c:v>2.2599999999999999E-2</c:v>
                </c:pt>
                <c:pt idx="17">
                  <c:v>2.0000000000000001E-4</c:v>
                </c:pt>
                <c:pt idx="18">
                  <c:v>1.32E-2</c:v>
                </c:pt>
                <c:pt idx="19">
                  <c:v>1.6000000000000001E-3</c:v>
                </c:pt>
                <c:pt idx="20">
                  <c:v>4.9799999999999997E-2</c:v>
                </c:pt>
                <c:pt idx="21">
                  <c:v>1.4800000000000001E-2</c:v>
                </c:pt>
                <c:pt idx="22" formatCode="0.00%">
                  <c:v>5.5999999999999999E-3</c:v>
                </c:pt>
                <c:pt idx="23">
                  <c:v>2.92E-2</c:v>
                </c:pt>
                <c:pt idx="24">
                  <c:v>0</c:v>
                </c:pt>
                <c:pt idx="25">
                  <c:v>3.3999999999999998E-3</c:v>
                </c:pt>
              </c:numCache>
            </c:numRef>
          </c:val>
        </c:ser>
        <c:ser>
          <c:idx val="1"/>
          <c:order val="1"/>
          <c:tx>
            <c:strRef>
              <c:f>Sheet1!$H$71</c:f>
              <c:strCache>
                <c:ptCount val="1"/>
                <c:pt idx="0">
                  <c:v>2020年1-9月</c:v>
                </c:pt>
              </c:strCache>
            </c:strRef>
          </c:tx>
          <c:invertIfNegative val="0"/>
          <c:cat>
            <c:strRef>
              <c:f>Sheet1!$F$72:$F$97</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Sheet1!$H$72:$H$97</c:f>
              <c:numCache>
                <c:formatCode>0.0%</c:formatCode>
                <c:ptCount val="26"/>
                <c:pt idx="0">
                  <c:v>0.19989999999999999</c:v>
                </c:pt>
                <c:pt idx="1">
                  <c:v>3.78E-2</c:v>
                </c:pt>
                <c:pt idx="2">
                  <c:v>0.1028</c:v>
                </c:pt>
                <c:pt idx="3">
                  <c:v>5.79E-2</c:v>
                </c:pt>
                <c:pt idx="4">
                  <c:v>8.3000000000000004E-2</c:v>
                </c:pt>
                <c:pt idx="5">
                  <c:v>6.5699999999999995E-2</c:v>
                </c:pt>
                <c:pt idx="6">
                  <c:v>1.9699999999999999E-2</c:v>
                </c:pt>
                <c:pt idx="7">
                  <c:v>4.02E-2</c:v>
                </c:pt>
                <c:pt idx="8">
                  <c:v>3.1899999999999998E-2</c:v>
                </c:pt>
                <c:pt idx="9">
                  <c:v>2.8299999999999999E-2</c:v>
                </c:pt>
                <c:pt idx="10">
                  <c:v>4.8099999999999997E-2</c:v>
                </c:pt>
                <c:pt idx="11">
                  <c:v>6.13E-2</c:v>
                </c:pt>
                <c:pt idx="12">
                  <c:v>2.8500000000000001E-2</c:v>
                </c:pt>
                <c:pt idx="13">
                  <c:v>8.5000000000000006E-3</c:v>
                </c:pt>
                <c:pt idx="14">
                  <c:v>3.6799999999999999E-2</c:v>
                </c:pt>
                <c:pt idx="15">
                  <c:v>6.1999999999999998E-3</c:v>
                </c:pt>
                <c:pt idx="16">
                  <c:v>2.3E-2</c:v>
                </c:pt>
                <c:pt idx="17">
                  <c:v>1E-4</c:v>
                </c:pt>
                <c:pt idx="18">
                  <c:v>1.8700000000000001E-2</c:v>
                </c:pt>
                <c:pt idx="19">
                  <c:v>0.01</c:v>
                </c:pt>
                <c:pt idx="20">
                  <c:v>3.4200000000000001E-2</c:v>
                </c:pt>
                <c:pt idx="21">
                  <c:v>1.34E-2</c:v>
                </c:pt>
                <c:pt idx="22">
                  <c:v>8.9999999999999993E-3</c:v>
                </c:pt>
                <c:pt idx="23">
                  <c:v>2.9600000000000001E-2</c:v>
                </c:pt>
                <c:pt idx="24">
                  <c:v>1E-4</c:v>
                </c:pt>
                <c:pt idx="25">
                  <c:v>6.0000000000000001E-3</c:v>
                </c:pt>
              </c:numCache>
            </c:numRef>
          </c:val>
        </c:ser>
        <c:dLbls>
          <c:showLegendKey val="0"/>
          <c:showVal val="0"/>
          <c:showCatName val="0"/>
          <c:showSerName val="0"/>
          <c:showPercent val="0"/>
          <c:showBubbleSize val="0"/>
        </c:dLbls>
        <c:gapWidth val="150"/>
        <c:shape val="box"/>
        <c:axId val="499545216"/>
        <c:axId val="499546752"/>
        <c:axId val="0"/>
      </c:bar3DChart>
      <c:catAx>
        <c:axId val="499545216"/>
        <c:scaling>
          <c:orientation val="minMax"/>
        </c:scaling>
        <c:delete val="0"/>
        <c:axPos val="b"/>
        <c:majorTickMark val="none"/>
        <c:minorTickMark val="none"/>
        <c:tickLblPos val="nextTo"/>
        <c:crossAx val="499546752"/>
        <c:crosses val="autoZero"/>
        <c:auto val="1"/>
        <c:lblAlgn val="ctr"/>
        <c:lblOffset val="100"/>
        <c:noMultiLvlLbl val="0"/>
      </c:catAx>
      <c:valAx>
        <c:axId val="499546752"/>
        <c:scaling>
          <c:orientation val="minMax"/>
        </c:scaling>
        <c:delete val="0"/>
        <c:axPos val="l"/>
        <c:majorGridlines/>
        <c:numFmt formatCode="0.0%" sourceLinked="1"/>
        <c:majorTickMark val="none"/>
        <c:minorTickMark val="none"/>
        <c:tickLblPos val="nextTo"/>
        <c:crossAx val="499545216"/>
        <c:crosses val="autoZero"/>
        <c:crossBetween val="between"/>
      </c:valAx>
      <c:dTable>
        <c:showHorzBorder val="1"/>
        <c:showVertBorder val="1"/>
        <c:showOutline val="1"/>
        <c:showKeys val="1"/>
        <c:txPr>
          <a:bodyPr/>
          <a:lstStyle/>
          <a:p>
            <a:pPr rtl="0">
              <a:defRPr sz="650" baseline="0"/>
            </a:pPr>
            <a:endParaRPr lang="zh-CN"/>
          </a:p>
        </c:txPr>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2020</a:t>
            </a:r>
            <a:r>
              <a:rPr lang="zh-CN" altLang="en-US"/>
              <a:t>年</a:t>
            </a:r>
            <a:r>
              <a:rPr lang="en-US" altLang="zh-CN"/>
              <a:t>1-9</a:t>
            </a:r>
            <a:r>
              <a:rPr lang="zh-CN" altLang="en-US"/>
              <a:t>月各险种同期情况（万元）</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0015355397648465"/>
          <c:y val="0.19077956793862305"/>
          <c:w val="0.70616733883874272"/>
          <c:h val="0.70318304058146575"/>
        </c:manualLayout>
      </c:layout>
      <c:bar3DChart>
        <c:barDir val="col"/>
        <c:grouping val="clustered"/>
        <c:varyColors val="0"/>
        <c:ser>
          <c:idx val="0"/>
          <c:order val="0"/>
          <c:tx>
            <c:strRef>
              <c:f>Sheet1!$C$128</c:f>
              <c:strCache>
                <c:ptCount val="1"/>
                <c:pt idx="0">
                  <c:v>2019年1-9月</c:v>
                </c:pt>
              </c:strCache>
            </c:strRef>
          </c:tx>
          <c:invertIfNegative val="0"/>
          <c:cat>
            <c:strRef>
              <c:f>Sheet1!$B$129:$B$131</c:f>
              <c:strCache>
                <c:ptCount val="3"/>
                <c:pt idx="0">
                  <c:v>寿险</c:v>
                </c:pt>
                <c:pt idx="1">
                  <c:v>意外</c:v>
                </c:pt>
                <c:pt idx="2">
                  <c:v>健康</c:v>
                </c:pt>
              </c:strCache>
            </c:strRef>
          </c:cat>
          <c:val>
            <c:numRef>
              <c:f>Sheet1!$C$129:$C$131</c:f>
              <c:numCache>
                <c:formatCode>General</c:formatCode>
                <c:ptCount val="3"/>
                <c:pt idx="0">
                  <c:v>268903</c:v>
                </c:pt>
                <c:pt idx="1">
                  <c:v>2684</c:v>
                </c:pt>
                <c:pt idx="2">
                  <c:v>43252</c:v>
                </c:pt>
              </c:numCache>
            </c:numRef>
          </c:val>
        </c:ser>
        <c:ser>
          <c:idx val="1"/>
          <c:order val="1"/>
          <c:tx>
            <c:strRef>
              <c:f>Sheet1!$D$128</c:f>
              <c:strCache>
                <c:ptCount val="1"/>
                <c:pt idx="0">
                  <c:v>2020年1-9月</c:v>
                </c:pt>
              </c:strCache>
            </c:strRef>
          </c:tx>
          <c:invertIfNegative val="0"/>
          <c:cat>
            <c:strRef>
              <c:f>Sheet1!$B$129:$B$131</c:f>
              <c:strCache>
                <c:ptCount val="3"/>
                <c:pt idx="0">
                  <c:v>寿险</c:v>
                </c:pt>
                <c:pt idx="1">
                  <c:v>意外</c:v>
                </c:pt>
                <c:pt idx="2">
                  <c:v>健康</c:v>
                </c:pt>
              </c:strCache>
            </c:strRef>
          </c:cat>
          <c:val>
            <c:numRef>
              <c:f>Sheet1!$D$129:$D$131</c:f>
              <c:numCache>
                <c:formatCode>General</c:formatCode>
                <c:ptCount val="3"/>
                <c:pt idx="0">
                  <c:v>267572</c:v>
                </c:pt>
                <c:pt idx="1">
                  <c:v>4819</c:v>
                </c:pt>
                <c:pt idx="2">
                  <c:v>54865</c:v>
                </c:pt>
              </c:numCache>
            </c:numRef>
          </c:val>
        </c:ser>
        <c:dLbls>
          <c:showLegendKey val="0"/>
          <c:showVal val="0"/>
          <c:showCatName val="0"/>
          <c:showSerName val="0"/>
          <c:showPercent val="0"/>
          <c:showBubbleSize val="0"/>
        </c:dLbls>
        <c:gapWidth val="150"/>
        <c:shape val="cylinder"/>
        <c:axId val="573981824"/>
        <c:axId val="573983360"/>
        <c:axId val="0"/>
      </c:bar3DChart>
      <c:catAx>
        <c:axId val="573981824"/>
        <c:scaling>
          <c:orientation val="minMax"/>
        </c:scaling>
        <c:delete val="0"/>
        <c:axPos val="b"/>
        <c:majorTickMark val="none"/>
        <c:minorTickMark val="none"/>
        <c:tickLblPos val="nextTo"/>
        <c:crossAx val="573983360"/>
        <c:crosses val="autoZero"/>
        <c:auto val="1"/>
        <c:lblAlgn val="ctr"/>
        <c:lblOffset val="100"/>
        <c:noMultiLvlLbl val="0"/>
      </c:catAx>
      <c:valAx>
        <c:axId val="573983360"/>
        <c:scaling>
          <c:orientation val="minMax"/>
        </c:scaling>
        <c:delete val="0"/>
        <c:axPos val="l"/>
        <c:majorGridlines/>
        <c:numFmt formatCode="General" sourceLinked="1"/>
        <c:majorTickMark val="none"/>
        <c:minorTickMark val="none"/>
        <c:tickLblPos val="nextTo"/>
        <c:crossAx val="57398182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en-US"/>
              <a:t>2020</a:t>
            </a:r>
            <a:r>
              <a:rPr lang="zh-CN" altLang="en-US"/>
              <a:t>年</a:t>
            </a:r>
            <a:r>
              <a:rPr lang="en-US" altLang="zh-CN"/>
              <a:t>1-9</a:t>
            </a:r>
            <a:r>
              <a:rPr lang="zh-CN" altLang="en-US"/>
              <a:t>月各渠道同期情况 （万元）</a:t>
            </a:r>
            <a:endParaRPr lang="en-US" altLang="en-US"/>
          </a:p>
        </c:rich>
      </c:tx>
      <c:layout>
        <c:manualLayout>
          <c:xMode val="edge"/>
          <c:yMode val="edge"/>
          <c:x val="0.18174326465927099"/>
          <c:y val="4.3918528875479347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Sheet1!$C$153</c:f>
              <c:strCache>
                <c:ptCount val="1"/>
                <c:pt idx="0">
                  <c:v>2019年1-9月</c:v>
                </c:pt>
              </c:strCache>
            </c:strRef>
          </c:tx>
          <c:invertIfNegative val="0"/>
          <c:cat>
            <c:strRef>
              <c:f>Sheet1!$B$154:$B$156</c:f>
              <c:strCache>
                <c:ptCount val="3"/>
                <c:pt idx="0">
                  <c:v>个险</c:v>
                </c:pt>
                <c:pt idx="1">
                  <c:v>团险</c:v>
                </c:pt>
                <c:pt idx="2">
                  <c:v>银行代理</c:v>
                </c:pt>
              </c:strCache>
            </c:strRef>
          </c:cat>
          <c:val>
            <c:numRef>
              <c:f>Sheet1!$C$154:$C$156</c:f>
              <c:numCache>
                <c:formatCode>General</c:formatCode>
                <c:ptCount val="3"/>
                <c:pt idx="0">
                  <c:v>212094</c:v>
                </c:pt>
                <c:pt idx="1">
                  <c:v>14906</c:v>
                </c:pt>
                <c:pt idx="2">
                  <c:v>88881</c:v>
                </c:pt>
              </c:numCache>
            </c:numRef>
          </c:val>
        </c:ser>
        <c:ser>
          <c:idx val="1"/>
          <c:order val="1"/>
          <c:tx>
            <c:strRef>
              <c:f>Sheet1!$D$153</c:f>
              <c:strCache>
                <c:ptCount val="1"/>
                <c:pt idx="0">
                  <c:v>2020年1-9月</c:v>
                </c:pt>
              </c:strCache>
            </c:strRef>
          </c:tx>
          <c:invertIfNegative val="0"/>
          <c:cat>
            <c:strRef>
              <c:f>Sheet1!$B$154:$B$156</c:f>
              <c:strCache>
                <c:ptCount val="3"/>
                <c:pt idx="0">
                  <c:v>个险</c:v>
                </c:pt>
                <c:pt idx="1">
                  <c:v>团险</c:v>
                </c:pt>
                <c:pt idx="2">
                  <c:v>银行代理</c:v>
                </c:pt>
              </c:strCache>
            </c:strRef>
          </c:cat>
          <c:val>
            <c:numRef>
              <c:f>Sheet1!$D$154:$D$156</c:f>
              <c:numCache>
                <c:formatCode>General</c:formatCode>
                <c:ptCount val="3"/>
                <c:pt idx="0">
                  <c:v>222292</c:v>
                </c:pt>
                <c:pt idx="1">
                  <c:v>15776</c:v>
                </c:pt>
                <c:pt idx="2">
                  <c:v>88870</c:v>
                </c:pt>
              </c:numCache>
            </c:numRef>
          </c:val>
        </c:ser>
        <c:dLbls>
          <c:showLegendKey val="0"/>
          <c:showVal val="0"/>
          <c:showCatName val="0"/>
          <c:showSerName val="0"/>
          <c:showPercent val="0"/>
          <c:showBubbleSize val="0"/>
        </c:dLbls>
        <c:gapWidth val="150"/>
        <c:shape val="cylinder"/>
        <c:axId val="575553536"/>
        <c:axId val="575555072"/>
        <c:axId val="0"/>
      </c:bar3DChart>
      <c:catAx>
        <c:axId val="575553536"/>
        <c:scaling>
          <c:orientation val="minMax"/>
        </c:scaling>
        <c:delete val="0"/>
        <c:axPos val="b"/>
        <c:majorTickMark val="none"/>
        <c:minorTickMark val="none"/>
        <c:tickLblPos val="nextTo"/>
        <c:crossAx val="575555072"/>
        <c:crosses val="autoZero"/>
        <c:auto val="1"/>
        <c:lblAlgn val="ctr"/>
        <c:lblOffset val="100"/>
        <c:noMultiLvlLbl val="0"/>
      </c:catAx>
      <c:valAx>
        <c:axId val="575555072"/>
        <c:scaling>
          <c:orientation val="minMax"/>
        </c:scaling>
        <c:delete val="0"/>
        <c:axPos val="l"/>
        <c:majorGridlines/>
        <c:numFmt formatCode="General" sourceLinked="1"/>
        <c:majorTickMark val="none"/>
        <c:minorTickMark val="none"/>
        <c:tickLblPos val="nextTo"/>
        <c:crossAx val="57555353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2020</a:t>
            </a:r>
            <a:r>
              <a:rPr lang="zh-CN" altLang="en-US"/>
              <a:t>年</a:t>
            </a:r>
            <a:r>
              <a:rPr lang="en-US" altLang="zh-CN"/>
              <a:t>1-9</a:t>
            </a:r>
            <a:r>
              <a:rPr lang="zh-CN" altLang="en-US"/>
              <a:t>月各机构个险保费收入情况（万元）</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Sheet1!$C$227</c:f>
              <c:strCache>
                <c:ptCount val="1"/>
                <c:pt idx="0">
                  <c:v>2019年1-9月</c:v>
                </c:pt>
              </c:strCache>
            </c:strRef>
          </c:tx>
          <c:invertIfNegative val="0"/>
          <c:cat>
            <c:strRef>
              <c:f>Sheet1!$B$228:$B$253</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Sheet1!$C$228:$C$253</c:f>
              <c:numCache>
                <c:formatCode>General</c:formatCode>
                <c:ptCount val="26"/>
                <c:pt idx="0">
                  <c:v>54353</c:v>
                </c:pt>
                <c:pt idx="1">
                  <c:v>12712</c:v>
                </c:pt>
                <c:pt idx="2">
                  <c:v>31922</c:v>
                </c:pt>
                <c:pt idx="3">
                  <c:v>17462</c:v>
                </c:pt>
                <c:pt idx="4">
                  <c:v>25121</c:v>
                </c:pt>
                <c:pt idx="5">
                  <c:v>11623</c:v>
                </c:pt>
                <c:pt idx="6">
                  <c:v>5958</c:v>
                </c:pt>
                <c:pt idx="7">
                  <c:v>2798</c:v>
                </c:pt>
                <c:pt idx="8">
                  <c:v>7035</c:v>
                </c:pt>
                <c:pt idx="9">
                  <c:v>3426</c:v>
                </c:pt>
                <c:pt idx="10">
                  <c:v>12595</c:v>
                </c:pt>
                <c:pt idx="11">
                  <c:v>3574</c:v>
                </c:pt>
                <c:pt idx="12">
                  <c:v>4331</c:v>
                </c:pt>
                <c:pt idx="13">
                  <c:v>1505</c:v>
                </c:pt>
                <c:pt idx="14">
                  <c:v>2899</c:v>
                </c:pt>
                <c:pt idx="15">
                  <c:v>122</c:v>
                </c:pt>
                <c:pt idx="16">
                  <c:v>7084</c:v>
                </c:pt>
                <c:pt idx="17">
                  <c:v>2</c:v>
                </c:pt>
                <c:pt idx="18">
                  <c:v>3072</c:v>
                </c:pt>
                <c:pt idx="19">
                  <c:v>0</c:v>
                </c:pt>
                <c:pt idx="20">
                  <c:v>0</c:v>
                </c:pt>
                <c:pt idx="21">
                  <c:v>0</c:v>
                </c:pt>
                <c:pt idx="22">
                  <c:v>2108</c:v>
                </c:pt>
                <c:pt idx="23">
                  <c:v>123</c:v>
                </c:pt>
                <c:pt idx="24">
                  <c:v>0</c:v>
                </c:pt>
                <c:pt idx="25">
                  <c:v>2262</c:v>
                </c:pt>
              </c:numCache>
            </c:numRef>
          </c:val>
        </c:ser>
        <c:ser>
          <c:idx val="1"/>
          <c:order val="1"/>
          <c:tx>
            <c:strRef>
              <c:f>Sheet1!$D$227</c:f>
              <c:strCache>
                <c:ptCount val="1"/>
                <c:pt idx="0">
                  <c:v>2020年1-9月</c:v>
                </c:pt>
              </c:strCache>
            </c:strRef>
          </c:tx>
          <c:invertIfNegative val="0"/>
          <c:cat>
            <c:strRef>
              <c:f>Sheet1!$B$228:$B$253</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Sheet1!$D$228:$D$253</c:f>
              <c:numCache>
                <c:formatCode>General</c:formatCode>
                <c:ptCount val="26"/>
                <c:pt idx="0">
                  <c:v>60945</c:v>
                </c:pt>
                <c:pt idx="1">
                  <c:v>12330</c:v>
                </c:pt>
                <c:pt idx="2">
                  <c:v>29444</c:v>
                </c:pt>
                <c:pt idx="3">
                  <c:v>18698</c:v>
                </c:pt>
                <c:pt idx="4">
                  <c:v>23967</c:v>
                </c:pt>
                <c:pt idx="5">
                  <c:v>10902</c:v>
                </c:pt>
                <c:pt idx="6">
                  <c:v>6450</c:v>
                </c:pt>
                <c:pt idx="7">
                  <c:v>2460</c:v>
                </c:pt>
                <c:pt idx="8">
                  <c:v>7485</c:v>
                </c:pt>
                <c:pt idx="9">
                  <c:v>4087</c:v>
                </c:pt>
                <c:pt idx="10">
                  <c:v>14086</c:v>
                </c:pt>
                <c:pt idx="11">
                  <c:v>4425</c:v>
                </c:pt>
                <c:pt idx="12">
                  <c:v>8004</c:v>
                </c:pt>
                <c:pt idx="13">
                  <c:v>1140</c:v>
                </c:pt>
                <c:pt idx="14">
                  <c:v>1820</c:v>
                </c:pt>
                <c:pt idx="15">
                  <c:v>122</c:v>
                </c:pt>
                <c:pt idx="16">
                  <c:v>7515</c:v>
                </c:pt>
                <c:pt idx="17">
                  <c:v>2</c:v>
                </c:pt>
                <c:pt idx="18">
                  <c:v>3870</c:v>
                </c:pt>
                <c:pt idx="19">
                  <c:v>0</c:v>
                </c:pt>
                <c:pt idx="20">
                  <c:v>0</c:v>
                </c:pt>
                <c:pt idx="21">
                  <c:v>0</c:v>
                </c:pt>
                <c:pt idx="22">
                  <c:v>2488</c:v>
                </c:pt>
                <c:pt idx="23">
                  <c:v>122</c:v>
                </c:pt>
                <c:pt idx="24">
                  <c:v>0</c:v>
                </c:pt>
                <c:pt idx="25">
                  <c:v>1922</c:v>
                </c:pt>
              </c:numCache>
            </c:numRef>
          </c:val>
        </c:ser>
        <c:dLbls>
          <c:showLegendKey val="0"/>
          <c:showVal val="0"/>
          <c:showCatName val="0"/>
          <c:showSerName val="0"/>
          <c:showPercent val="0"/>
          <c:showBubbleSize val="0"/>
        </c:dLbls>
        <c:gapWidth val="150"/>
        <c:shape val="box"/>
        <c:axId val="575638144"/>
        <c:axId val="575648128"/>
        <c:axId val="0"/>
      </c:bar3DChart>
      <c:catAx>
        <c:axId val="575638144"/>
        <c:scaling>
          <c:orientation val="minMax"/>
        </c:scaling>
        <c:delete val="0"/>
        <c:axPos val="b"/>
        <c:majorTickMark val="none"/>
        <c:minorTickMark val="none"/>
        <c:tickLblPos val="nextTo"/>
        <c:crossAx val="575648128"/>
        <c:crosses val="autoZero"/>
        <c:auto val="1"/>
        <c:lblAlgn val="ctr"/>
        <c:lblOffset val="100"/>
        <c:noMultiLvlLbl val="0"/>
      </c:catAx>
      <c:valAx>
        <c:axId val="575648128"/>
        <c:scaling>
          <c:orientation val="minMax"/>
        </c:scaling>
        <c:delete val="0"/>
        <c:axPos val="l"/>
        <c:majorGridlines/>
        <c:numFmt formatCode="General" sourceLinked="1"/>
        <c:majorTickMark val="none"/>
        <c:minorTickMark val="none"/>
        <c:tickLblPos val="nextTo"/>
        <c:crossAx val="575638144"/>
        <c:crosses val="autoZero"/>
        <c:crossBetween val="between"/>
      </c:valAx>
      <c:dTable>
        <c:showHorzBorder val="1"/>
        <c:showVertBorder val="1"/>
        <c:showOutline val="1"/>
        <c:showKeys val="1"/>
        <c:txPr>
          <a:bodyPr/>
          <a:lstStyle/>
          <a:p>
            <a:pPr rtl="0">
              <a:defRPr sz="650" baseline="0"/>
            </a:pPr>
            <a:endParaRPr lang="zh-CN"/>
          </a:p>
        </c:txPr>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a:t>2020</a:t>
            </a:r>
            <a:r>
              <a:rPr lang="zh-CN" altLang="en-US"/>
              <a:t>年</a:t>
            </a:r>
            <a:r>
              <a:rPr lang="en-US" altLang="zh-CN"/>
              <a:t>1-9</a:t>
            </a:r>
            <a:r>
              <a:rPr lang="zh-CN" altLang="en-US"/>
              <a:t>月各机构个险新单保费收入情况（万元）</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Sheet1!$C$258</c:f>
              <c:strCache>
                <c:ptCount val="1"/>
                <c:pt idx="0">
                  <c:v>2019年1-9月</c:v>
                </c:pt>
              </c:strCache>
            </c:strRef>
          </c:tx>
          <c:invertIfNegative val="0"/>
          <c:cat>
            <c:strRef>
              <c:f>Sheet1!$B$259:$B$284</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Sheet1!$C$259:$C$284</c:f>
              <c:numCache>
                <c:formatCode>General</c:formatCode>
                <c:ptCount val="26"/>
                <c:pt idx="0">
                  <c:v>13611</c:v>
                </c:pt>
                <c:pt idx="1">
                  <c:v>2008</c:v>
                </c:pt>
                <c:pt idx="2">
                  <c:v>5913</c:v>
                </c:pt>
                <c:pt idx="3">
                  <c:v>2845</c:v>
                </c:pt>
                <c:pt idx="4">
                  <c:v>5826</c:v>
                </c:pt>
                <c:pt idx="5">
                  <c:v>1399</c:v>
                </c:pt>
                <c:pt idx="6">
                  <c:v>1058</c:v>
                </c:pt>
                <c:pt idx="7">
                  <c:v>869</c:v>
                </c:pt>
                <c:pt idx="8">
                  <c:v>2147</c:v>
                </c:pt>
                <c:pt idx="9">
                  <c:v>985</c:v>
                </c:pt>
                <c:pt idx="10">
                  <c:v>3227</c:v>
                </c:pt>
                <c:pt idx="11">
                  <c:v>815</c:v>
                </c:pt>
                <c:pt idx="12">
                  <c:v>1093</c:v>
                </c:pt>
                <c:pt idx="13">
                  <c:v>235</c:v>
                </c:pt>
                <c:pt idx="14">
                  <c:v>1469</c:v>
                </c:pt>
                <c:pt idx="15">
                  <c:v>1</c:v>
                </c:pt>
                <c:pt idx="16">
                  <c:v>2475</c:v>
                </c:pt>
                <c:pt idx="17">
                  <c:v>3</c:v>
                </c:pt>
                <c:pt idx="18">
                  <c:v>922</c:v>
                </c:pt>
                <c:pt idx="19">
                  <c:v>0</c:v>
                </c:pt>
                <c:pt idx="20">
                  <c:v>0</c:v>
                </c:pt>
                <c:pt idx="21">
                  <c:v>0</c:v>
                </c:pt>
                <c:pt idx="22">
                  <c:v>760</c:v>
                </c:pt>
                <c:pt idx="23">
                  <c:v>69</c:v>
                </c:pt>
                <c:pt idx="24">
                  <c:v>0</c:v>
                </c:pt>
                <c:pt idx="25">
                  <c:v>495</c:v>
                </c:pt>
              </c:numCache>
            </c:numRef>
          </c:val>
        </c:ser>
        <c:ser>
          <c:idx val="1"/>
          <c:order val="1"/>
          <c:tx>
            <c:strRef>
              <c:f>Sheet1!$D$258</c:f>
              <c:strCache>
                <c:ptCount val="1"/>
                <c:pt idx="0">
                  <c:v>2020年1-9月</c:v>
                </c:pt>
              </c:strCache>
            </c:strRef>
          </c:tx>
          <c:invertIfNegative val="0"/>
          <c:cat>
            <c:strRef>
              <c:f>Sheet1!$B$259:$B$284</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Sheet1!$D$259:$D$284</c:f>
              <c:numCache>
                <c:formatCode>General</c:formatCode>
                <c:ptCount val="26"/>
                <c:pt idx="0">
                  <c:v>11002</c:v>
                </c:pt>
                <c:pt idx="1">
                  <c:v>1940</c:v>
                </c:pt>
                <c:pt idx="2">
                  <c:v>6411</c:v>
                </c:pt>
                <c:pt idx="3">
                  <c:v>2763</c:v>
                </c:pt>
                <c:pt idx="4">
                  <c:v>2858</c:v>
                </c:pt>
                <c:pt idx="5">
                  <c:v>1035</c:v>
                </c:pt>
                <c:pt idx="6">
                  <c:v>783</c:v>
                </c:pt>
                <c:pt idx="7">
                  <c:v>496</c:v>
                </c:pt>
                <c:pt idx="8">
                  <c:v>2051</c:v>
                </c:pt>
                <c:pt idx="9">
                  <c:v>1463</c:v>
                </c:pt>
                <c:pt idx="10">
                  <c:v>2806</c:v>
                </c:pt>
                <c:pt idx="11">
                  <c:v>1392</c:v>
                </c:pt>
                <c:pt idx="12">
                  <c:v>4284</c:v>
                </c:pt>
                <c:pt idx="13">
                  <c:v>191</c:v>
                </c:pt>
                <c:pt idx="14">
                  <c:v>210</c:v>
                </c:pt>
                <c:pt idx="15">
                  <c:v>1</c:v>
                </c:pt>
                <c:pt idx="16">
                  <c:v>1781</c:v>
                </c:pt>
                <c:pt idx="17">
                  <c:v>2</c:v>
                </c:pt>
                <c:pt idx="18">
                  <c:v>922</c:v>
                </c:pt>
                <c:pt idx="19">
                  <c:v>0</c:v>
                </c:pt>
                <c:pt idx="20">
                  <c:v>0</c:v>
                </c:pt>
                <c:pt idx="21">
                  <c:v>0</c:v>
                </c:pt>
                <c:pt idx="22">
                  <c:v>810</c:v>
                </c:pt>
                <c:pt idx="23">
                  <c:v>35</c:v>
                </c:pt>
                <c:pt idx="24">
                  <c:v>0</c:v>
                </c:pt>
                <c:pt idx="25">
                  <c:v>433</c:v>
                </c:pt>
              </c:numCache>
            </c:numRef>
          </c:val>
        </c:ser>
        <c:dLbls>
          <c:showLegendKey val="0"/>
          <c:showVal val="0"/>
          <c:showCatName val="0"/>
          <c:showSerName val="0"/>
          <c:showPercent val="0"/>
          <c:showBubbleSize val="0"/>
        </c:dLbls>
        <c:gapWidth val="150"/>
        <c:shape val="box"/>
        <c:axId val="579025536"/>
        <c:axId val="579043712"/>
        <c:axId val="0"/>
      </c:bar3DChart>
      <c:catAx>
        <c:axId val="579025536"/>
        <c:scaling>
          <c:orientation val="minMax"/>
        </c:scaling>
        <c:delete val="0"/>
        <c:axPos val="b"/>
        <c:majorTickMark val="none"/>
        <c:minorTickMark val="none"/>
        <c:tickLblPos val="nextTo"/>
        <c:crossAx val="579043712"/>
        <c:crosses val="autoZero"/>
        <c:auto val="1"/>
        <c:lblAlgn val="ctr"/>
        <c:lblOffset val="100"/>
        <c:noMultiLvlLbl val="0"/>
      </c:catAx>
      <c:valAx>
        <c:axId val="579043712"/>
        <c:scaling>
          <c:orientation val="minMax"/>
        </c:scaling>
        <c:delete val="0"/>
        <c:axPos val="l"/>
        <c:majorGridlines/>
        <c:numFmt formatCode="General" sourceLinked="1"/>
        <c:majorTickMark val="none"/>
        <c:minorTickMark val="none"/>
        <c:tickLblPos val="nextTo"/>
        <c:crossAx val="579025536"/>
        <c:crosses val="autoZero"/>
        <c:crossBetween val="between"/>
      </c:valAx>
      <c:dTable>
        <c:showHorzBorder val="1"/>
        <c:showVertBorder val="1"/>
        <c:showOutline val="1"/>
        <c:showKeys val="1"/>
        <c:txPr>
          <a:bodyPr/>
          <a:lstStyle/>
          <a:p>
            <a:pPr rtl="0">
              <a:defRPr sz="650" baseline="0"/>
            </a:pPr>
            <a:endParaRPr lang="zh-CN"/>
          </a:p>
        </c:txPr>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ltLang="zh-CN" sz="1600"/>
              <a:t>2020</a:t>
            </a:r>
            <a:r>
              <a:rPr lang="zh-CN" altLang="en-US" sz="1600"/>
              <a:t>年</a:t>
            </a:r>
            <a:r>
              <a:rPr lang="en-US" altLang="zh-CN" sz="1600"/>
              <a:t>1-9</a:t>
            </a:r>
            <a:r>
              <a:rPr lang="zh-CN" altLang="en-US" sz="1600"/>
              <a:t>月各公司个险寿险首年期缴同比情况（万元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Sheet1!$C$299</c:f>
              <c:strCache>
                <c:ptCount val="1"/>
                <c:pt idx="0">
                  <c:v>2019年1-9月</c:v>
                </c:pt>
              </c:strCache>
            </c:strRef>
          </c:tx>
          <c:invertIfNegative val="0"/>
          <c:cat>
            <c:strRef>
              <c:f>Sheet1!$B$300:$B$325</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Sheet1!$C$300:$C$325</c:f>
              <c:numCache>
                <c:formatCode>General</c:formatCode>
                <c:ptCount val="26"/>
                <c:pt idx="0">
                  <c:v>13522</c:v>
                </c:pt>
                <c:pt idx="1">
                  <c:v>1774</c:v>
                </c:pt>
                <c:pt idx="2">
                  <c:v>5913</c:v>
                </c:pt>
                <c:pt idx="3">
                  <c:v>2651</c:v>
                </c:pt>
                <c:pt idx="4">
                  <c:v>5822</c:v>
                </c:pt>
                <c:pt idx="5">
                  <c:v>1365</c:v>
                </c:pt>
                <c:pt idx="6">
                  <c:v>1048</c:v>
                </c:pt>
                <c:pt idx="7">
                  <c:v>814</c:v>
                </c:pt>
                <c:pt idx="8">
                  <c:v>1935</c:v>
                </c:pt>
                <c:pt idx="9">
                  <c:v>985</c:v>
                </c:pt>
                <c:pt idx="10">
                  <c:v>2722</c:v>
                </c:pt>
                <c:pt idx="11">
                  <c:v>815</c:v>
                </c:pt>
                <c:pt idx="12">
                  <c:v>771</c:v>
                </c:pt>
                <c:pt idx="13">
                  <c:v>235</c:v>
                </c:pt>
                <c:pt idx="14">
                  <c:v>442</c:v>
                </c:pt>
                <c:pt idx="15">
                  <c:v>0</c:v>
                </c:pt>
                <c:pt idx="16">
                  <c:v>1716</c:v>
                </c:pt>
                <c:pt idx="17">
                  <c:v>3</c:v>
                </c:pt>
                <c:pt idx="18">
                  <c:v>904</c:v>
                </c:pt>
                <c:pt idx="19">
                  <c:v>4</c:v>
                </c:pt>
                <c:pt idx="20">
                  <c:v>0</c:v>
                </c:pt>
                <c:pt idx="21">
                  <c:v>0</c:v>
                </c:pt>
                <c:pt idx="22">
                  <c:v>760</c:v>
                </c:pt>
                <c:pt idx="23">
                  <c:v>69</c:v>
                </c:pt>
                <c:pt idx="24">
                  <c:v>0</c:v>
                </c:pt>
                <c:pt idx="25">
                  <c:v>485</c:v>
                </c:pt>
              </c:numCache>
            </c:numRef>
          </c:val>
        </c:ser>
        <c:ser>
          <c:idx val="1"/>
          <c:order val="1"/>
          <c:tx>
            <c:strRef>
              <c:f>Sheet1!$D$299</c:f>
              <c:strCache>
                <c:ptCount val="1"/>
                <c:pt idx="0">
                  <c:v>2020年1-9月</c:v>
                </c:pt>
              </c:strCache>
            </c:strRef>
          </c:tx>
          <c:invertIfNegative val="0"/>
          <c:cat>
            <c:strRef>
              <c:f>Sheet1!$B$300:$B$325</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Sheet1!$D$300:$D$325</c:f>
              <c:numCache>
                <c:formatCode>General</c:formatCode>
                <c:ptCount val="26"/>
                <c:pt idx="0">
                  <c:v>10836</c:v>
                </c:pt>
                <c:pt idx="1">
                  <c:v>1334</c:v>
                </c:pt>
                <c:pt idx="2">
                  <c:v>6165</c:v>
                </c:pt>
                <c:pt idx="3">
                  <c:v>2326</c:v>
                </c:pt>
                <c:pt idx="4">
                  <c:v>2852</c:v>
                </c:pt>
                <c:pt idx="5">
                  <c:v>876</c:v>
                </c:pt>
                <c:pt idx="6">
                  <c:v>692</c:v>
                </c:pt>
                <c:pt idx="7">
                  <c:v>365</c:v>
                </c:pt>
                <c:pt idx="8">
                  <c:v>2005</c:v>
                </c:pt>
                <c:pt idx="9">
                  <c:v>1463</c:v>
                </c:pt>
                <c:pt idx="10">
                  <c:v>2384</c:v>
                </c:pt>
                <c:pt idx="11">
                  <c:v>1392</c:v>
                </c:pt>
                <c:pt idx="12">
                  <c:v>524</c:v>
                </c:pt>
                <c:pt idx="13">
                  <c:v>191</c:v>
                </c:pt>
                <c:pt idx="14">
                  <c:v>210</c:v>
                </c:pt>
                <c:pt idx="15">
                  <c:v>0</c:v>
                </c:pt>
                <c:pt idx="16">
                  <c:v>1312</c:v>
                </c:pt>
                <c:pt idx="17">
                  <c:v>2</c:v>
                </c:pt>
                <c:pt idx="18">
                  <c:v>791</c:v>
                </c:pt>
                <c:pt idx="19">
                  <c:v>0</c:v>
                </c:pt>
                <c:pt idx="20">
                  <c:v>0</c:v>
                </c:pt>
                <c:pt idx="21">
                  <c:v>0</c:v>
                </c:pt>
                <c:pt idx="22">
                  <c:v>810</c:v>
                </c:pt>
                <c:pt idx="23">
                  <c:v>35</c:v>
                </c:pt>
                <c:pt idx="24">
                  <c:v>0</c:v>
                </c:pt>
                <c:pt idx="25">
                  <c:v>423</c:v>
                </c:pt>
              </c:numCache>
            </c:numRef>
          </c:val>
        </c:ser>
        <c:ser>
          <c:idx val="2"/>
          <c:order val="2"/>
          <c:tx>
            <c:strRef>
              <c:f>Sheet1!$E$299</c:f>
              <c:strCache>
                <c:ptCount val="1"/>
                <c:pt idx="0">
                  <c:v>同比</c:v>
                </c:pt>
              </c:strCache>
            </c:strRef>
          </c:tx>
          <c:invertIfNegative val="0"/>
          <c:cat>
            <c:strRef>
              <c:f>Sheet1!$B$300:$B$325</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Sheet1!$E$300:$E$325</c:f>
              <c:numCache>
                <c:formatCode>0.00%</c:formatCode>
                <c:ptCount val="26"/>
                <c:pt idx="0">
                  <c:v>-0.19863925454814377</c:v>
                </c:pt>
                <c:pt idx="1">
                  <c:v>-0.24802705749718151</c:v>
                </c:pt>
                <c:pt idx="2">
                  <c:v>4.2617960426179602E-2</c:v>
                </c:pt>
                <c:pt idx="3">
                  <c:v>-0.12259524707657488</c:v>
                </c:pt>
                <c:pt idx="4">
                  <c:v>-0.51013397457918241</c:v>
                </c:pt>
                <c:pt idx="5">
                  <c:v>-0.35824175824175825</c:v>
                </c:pt>
                <c:pt idx="6">
                  <c:v>-0.33969465648854963</c:v>
                </c:pt>
                <c:pt idx="7">
                  <c:v>-0.55159705159705164</c:v>
                </c:pt>
                <c:pt idx="8">
                  <c:v>3.6175710594315243E-2</c:v>
                </c:pt>
                <c:pt idx="9">
                  <c:v>0.48527918781725887</c:v>
                </c:pt>
                <c:pt idx="10">
                  <c:v>-0.12417340191036003</c:v>
                </c:pt>
                <c:pt idx="11">
                  <c:v>0.70797546012269941</c:v>
                </c:pt>
                <c:pt idx="12">
                  <c:v>-0.3203631647211414</c:v>
                </c:pt>
                <c:pt idx="13">
                  <c:v>-0.18723404255319148</c:v>
                </c:pt>
                <c:pt idx="14">
                  <c:v>-0.52488687782805432</c:v>
                </c:pt>
                <c:pt idx="15">
                  <c:v>0</c:v>
                </c:pt>
                <c:pt idx="16">
                  <c:v>-0.23543123543123542</c:v>
                </c:pt>
                <c:pt idx="17">
                  <c:v>-0.33333333333333331</c:v>
                </c:pt>
                <c:pt idx="18">
                  <c:v>-0.125</c:v>
                </c:pt>
                <c:pt idx="19">
                  <c:v>-1</c:v>
                </c:pt>
                <c:pt idx="20">
                  <c:v>0</c:v>
                </c:pt>
                <c:pt idx="21">
                  <c:v>0</c:v>
                </c:pt>
                <c:pt idx="22">
                  <c:v>6.5789473684210523E-2</c:v>
                </c:pt>
                <c:pt idx="23">
                  <c:v>-0.49275362318840582</c:v>
                </c:pt>
                <c:pt idx="24">
                  <c:v>0</c:v>
                </c:pt>
                <c:pt idx="25">
                  <c:v>-0.12783505154639174</c:v>
                </c:pt>
              </c:numCache>
            </c:numRef>
          </c:val>
        </c:ser>
        <c:dLbls>
          <c:showLegendKey val="0"/>
          <c:showVal val="0"/>
          <c:showCatName val="0"/>
          <c:showSerName val="0"/>
          <c:showPercent val="0"/>
          <c:showBubbleSize val="0"/>
        </c:dLbls>
        <c:gapWidth val="150"/>
        <c:shape val="cylinder"/>
        <c:axId val="579845504"/>
        <c:axId val="579859584"/>
        <c:axId val="0"/>
      </c:bar3DChart>
      <c:catAx>
        <c:axId val="579845504"/>
        <c:scaling>
          <c:orientation val="minMax"/>
        </c:scaling>
        <c:delete val="0"/>
        <c:axPos val="b"/>
        <c:majorTickMark val="none"/>
        <c:minorTickMark val="none"/>
        <c:tickLblPos val="nextTo"/>
        <c:crossAx val="579859584"/>
        <c:crosses val="autoZero"/>
        <c:auto val="1"/>
        <c:lblAlgn val="ctr"/>
        <c:lblOffset val="100"/>
        <c:noMultiLvlLbl val="0"/>
      </c:catAx>
      <c:valAx>
        <c:axId val="579859584"/>
        <c:scaling>
          <c:orientation val="minMax"/>
        </c:scaling>
        <c:delete val="0"/>
        <c:axPos val="l"/>
        <c:majorGridlines/>
        <c:numFmt formatCode="General" sourceLinked="1"/>
        <c:majorTickMark val="none"/>
        <c:minorTickMark val="none"/>
        <c:tickLblPos val="nextTo"/>
        <c:crossAx val="579845504"/>
        <c:crosses val="autoZero"/>
        <c:crossBetween val="between"/>
      </c:valAx>
      <c:dTable>
        <c:showHorzBorder val="1"/>
        <c:showVertBorder val="1"/>
        <c:showOutline val="1"/>
        <c:showKeys val="1"/>
        <c:txPr>
          <a:bodyPr/>
          <a:lstStyle/>
          <a:p>
            <a:pPr rtl="0">
              <a:defRPr sz="650" baseline="0"/>
            </a:pPr>
            <a:endParaRPr lang="zh-CN"/>
          </a:p>
        </c:txPr>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Sheet1!$F$299</c:f>
              <c:strCache>
                <c:ptCount val="1"/>
                <c:pt idx="0">
                  <c:v>份额</c:v>
                </c:pt>
              </c:strCache>
            </c:strRef>
          </c:tx>
          <c:explosion val="25"/>
          <c:dLbls>
            <c:dLbl>
              <c:idx val="12"/>
              <c:layout>
                <c:manualLayout>
                  <c:x val="0.38728879958254475"/>
                  <c:y val="-0.12542134847523143"/>
                </c:manualLayout>
              </c:layout>
              <c:showLegendKey val="0"/>
              <c:showVal val="1"/>
              <c:showCatName val="1"/>
              <c:showSerName val="0"/>
              <c:showPercent val="0"/>
              <c:showBubbleSize val="0"/>
            </c:dLbl>
            <c:dLbl>
              <c:idx val="14"/>
              <c:layout>
                <c:manualLayout>
                  <c:x val="0.50911757940369817"/>
                  <c:y val="-1.504057816976612E-2"/>
                </c:manualLayout>
              </c:layout>
              <c:showLegendKey val="0"/>
              <c:showVal val="1"/>
              <c:showCatName val="1"/>
              <c:showSerName val="0"/>
              <c:showPercent val="0"/>
              <c:showBubbleSize val="0"/>
            </c:dLbl>
            <c:dLbl>
              <c:idx val="15"/>
              <c:layout>
                <c:manualLayout>
                  <c:x val="0.69528182122635263"/>
                  <c:y val="0.56972192201465022"/>
                </c:manualLayout>
              </c:layout>
              <c:showLegendKey val="0"/>
              <c:showVal val="1"/>
              <c:showCatName val="1"/>
              <c:showSerName val="0"/>
              <c:showPercent val="0"/>
              <c:showBubbleSize val="0"/>
            </c:dLbl>
            <c:dLbl>
              <c:idx val="17"/>
              <c:layout>
                <c:manualLayout>
                  <c:x val="0.62136778896703193"/>
                  <c:y val="0.13522812916359311"/>
                </c:manualLayout>
              </c:layout>
              <c:showLegendKey val="0"/>
              <c:showVal val="1"/>
              <c:showCatName val="1"/>
              <c:showSerName val="0"/>
              <c:showPercent val="0"/>
              <c:showBubbleSize val="0"/>
            </c:dLbl>
            <c:dLbl>
              <c:idx val="18"/>
              <c:layout>
                <c:manualLayout>
                  <c:x val="0.59603713482402232"/>
                  <c:y val="-6.0636211323257796E-3"/>
                </c:manualLayout>
              </c:layout>
              <c:showLegendKey val="0"/>
              <c:showVal val="1"/>
              <c:showCatName val="1"/>
              <c:showSerName val="0"/>
              <c:showPercent val="0"/>
              <c:showBubbleSize val="0"/>
            </c:dLbl>
            <c:dLbl>
              <c:idx val="19"/>
              <c:layout>
                <c:manualLayout>
                  <c:x val="0.56428031807596746"/>
                  <c:y val="0.69653120157365944"/>
                </c:manualLayout>
              </c:layout>
              <c:showLegendKey val="0"/>
              <c:showVal val="1"/>
              <c:showCatName val="1"/>
              <c:showSerName val="0"/>
              <c:showPercent val="0"/>
              <c:showBubbleSize val="0"/>
            </c:dLbl>
            <c:dLbl>
              <c:idx val="20"/>
              <c:layout>
                <c:manualLayout>
                  <c:x val="0.55588050370108244"/>
                  <c:y val="4.4632424313037822E-2"/>
                </c:manualLayout>
              </c:layout>
              <c:showLegendKey val="0"/>
              <c:showVal val="1"/>
              <c:showCatName val="1"/>
              <c:showSerName val="0"/>
              <c:showPercent val="0"/>
              <c:showBubbleSize val="0"/>
            </c:dLbl>
            <c:dLbl>
              <c:idx val="21"/>
              <c:layout>
                <c:manualLayout>
                  <c:x val="0.55714354696760826"/>
                  <c:y val="0.6519538652439687"/>
                </c:manualLayout>
              </c:layout>
              <c:showLegendKey val="0"/>
              <c:showVal val="1"/>
              <c:showCatName val="1"/>
              <c:showSerName val="0"/>
              <c:showPercent val="0"/>
              <c:showBubbleSize val="0"/>
            </c:dLbl>
            <c:dLbl>
              <c:idx val="22"/>
              <c:layout>
                <c:manualLayout>
                  <c:x val="0.35931914297063017"/>
                  <c:y val="-7.7337130244340371E-2"/>
                </c:manualLayout>
              </c:layout>
              <c:showLegendKey val="0"/>
              <c:showVal val="1"/>
              <c:showCatName val="1"/>
              <c:showSerName val="0"/>
              <c:showPercent val="0"/>
              <c:showBubbleSize val="0"/>
            </c:dLbl>
            <c:dLbl>
              <c:idx val="23"/>
              <c:layout>
                <c:manualLayout>
                  <c:x val="5.5733757999351208E-2"/>
                  <c:y val="-6.5984580127845128E-3"/>
                </c:manualLayout>
              </c:layout>
              <c:showLegendKey val="0"/>
              <c:showVal val="1"/>
              <c:showCatName val="1"/>
              <c:showSerName val="0"/>
              <c:showPercent val="0"/>
              <c:showBubbleSize val="0"/>
            </c:dLbl>
            <c:dLbl>
              <c:idx val="24"/>
              <c:layout>
                <c:manualLayout>
                  <c:x val="0.49112695744492613"/>
                  <c:y val="9.4532634370656982E-2"/>
                </c:manualLayout>
              </c:layout>
              <c:showLegendKey val="0"/>
              <c:showVal val="1"/>
              <c:showCatName val="1"/>
              <c:showSerName val="0"/>
              <c:showPercent val="0"/>
              <c:showBubbleSize val="0"/>
            </c:dLbl>
            <c:dLbl>
              <c:idx val="25"/>
              <c:layout>
                <c:manualLayout>
                  <c:x val="0.27134777292304335"/>
                  <c:y val="-2.9641752297302707E-2"/>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Sheet1!$B$300:$B$325</c:f>
              <c:strCache>
                <c:ptCount val="26"/>
                <c:pt idx="0">
                  <c:v>中国人寿</c:v>
                </c:pt>
                <c:pt idx="1">
                  <c:v>太平洋人寿</c:v>
                </c:pt>
                <c:pt idx="2">
                  <c:v>平安人寿</c:v>
                </c:pt>
                <c:pt idx="3">
                  <c:v>泰康人寿</c:v>
                </c:pt>
                <c:pt idx="4">
                  <c:v>太平人寿</c:v>
                </c:pt>
                <c:pt idx="5">
                  <c:v>生命人寿</c:v>
                </c:pt>
                <c:pt idx="6">
                  <c:v>民生人寿</c:v>
                </c:pt>
                <c:pt idx="7">
                  <c:v>人保健康</c:v>
                </c:pt>
                <c:pt idx="8">
                  <c:v>人保人寿</c:v>
                </c:pt>
                <c:pt idx="9">
                  <c:v>中荷人寿</c:v>
                </c:pt>
                <c:pt idx="10">
                  <c:v>新华人寿</c:v>
                </c:pt>
                <c:pt idx="11">
                  <c:v>阳光人寿</c:v>
                </c:pt>
                <c:pt idx="12">
                  <c:v>合众人寿</c:v>
                </c:pt>
                <c:pt idx="13">
                  <c:v>中意人寿</c:v>
                </c:pt>
                <c:pt idx="14">
                  <c:v>百年人寿</c:v>
                </c:pt>
                <c:pt idx="15">
                  <c:v>光大永明人寿</c:v>
                </c:pt>
                <c:pt idx="16">
                  <c:v>恒安标准人寿</c:v>
                </c:pt>
                <c:pt idx="17">
                  <c:v>华汇人寿</c:v>
                </c:pt>
                <c:pt idx="18">
                  <c:v>英大泰和人寿</c:v>
                </c:pt>
                <c:pt idx="19">
                  <c:v>大家人寿</c:v>
                </c:pt>
                <c:pt idx="20">
                  <c:v>国华人寿</c:v>
                </c:pt>
                <c:pt idx="21">
                  <c:v>农银人寿</c:v>
                </c:pt>
                <c:pt idx="22">
                  <c:v>中英人寿</c:v>
                </c:pt>
                <c:pt idx="23">
                  <c:v>建信人寿</c:v>
                </c:pt>
                <c:pt idx="24">
                  <c:v>和谐健康</c:v>
                </c:pt>
                <c:pt idx="25">
                  <c:v>华泰人寿</c:v>
                </c:pt>
              </c:strCache>
            </c:strRef>
          </c:cat>
          <c:val>
            <c:numRef>
              <c:f>Sheet1!$F$300:$F$325</c:f>
              <c:numCache>
                <c:formatCode>0.00%</c:formatCode>
                <c:ptCount val="26"/>
                <c:pt idx="0">
                  <c:v>0.29295987887963665</c:v>
                </c:pt>
                <c:pt idx="1">
                  <c:v>3.6065751054396022E-2</c:v>
                </c:pt>
                <c:pt idx="2">
                  <c:v>0.16667567859846436</c:v>
                </c:pt>
                <c:pt idx="3">
                  <c:v>6.2885260084351677E-2</c:v>
                </c:pt>
                <c:pt idx="4">
                  <c:v>7.7106088461122532E-2</c:v>
                </c:pt>
                <c:pt idx="5">
                  <c:v>2.3683356764356008E-2</c:v>
                </c:pt>
                <c:pt idx="6">
                  <c:v>1.8708770412025521E-2</c:v>
                </c:pt>
                <c:pt idx="7">
                  <c:v>9.8680653184816704E-3</c:v>
                </c:pt>
                <c:pt idx="8">
                  <c:v>5.4206769763166435E-2</c:v>
                </c:pt>
                <c:pt idx="9">
                  <c:v>3.9553368660105982E-2</c:v>
                </c:pt>
                <c:pt idx="10">
                  <c:v>6.4453336217151505E-2</c:v>
                </c:pt>
                <c:pt idx="11">
                  <c:v>3.7633827187195851E-2</c:v>
                </c:pt>
                <c:pt idx="12">
                  <c:v>1.4166756785984645E-2</c:v>
                </c:pt>
                <c:pt idx="13">
                  <c:v>5.163836920082189E-3</c:v>
                </c:pt>
                <c:pt idx="14">
                  <c:v>5.6775170325510981E-3</c:v>
                </c:pt>
                <c:pt idx="15">
                  <c:v>0</c:v>
                </c:pt>
                <c:pt idx="16">
                  <c:v>3.547096355574781E-2</c:v>
                </c:pt>
                <c:pt idx="17">
                  <c:v>5.407159078620093E-5</c:v>
                </c:pt>
                <c:pt idx="18">
                  <c:v>2.1385314155942466E-2</c:v>
                </c:pt>
                <c:pt idx="19">
                  <c:v>0</c:v>
                </c:pt>
                <c:pt idx="20">
                  <c:v>0</c:v>
                </c:pt>
                <c:pt idx="21">
                  <c:v>0</c:v>
                </c:pt>
                <c:pt idx="22">
                  <c:v>2.1898994268411378E-2</c:v>
                </c:pt>
                <c:pt idx="23">
                  <c:v>9.4625283875851627E-4</c:v>
                </c:pt>
                <c:pt idx="24">
                  <c:v>0</c:v>
                </c:pt>
                <c:pt idx="25">
                  <c:v>1.1436141451281497E-2</c:v>
                </c:pt>
              </c:numCache>
            </c:numRef>
          </c:val>
        </c:ser>
        <c:dLbls>
          <c:showLegendKey val="0"/>
          <c:showVal val="1"/>
          <c:showCatName val="1"/>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5A442D-4C6B-4632-9E9D-4DB67CB7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2901</TotalTime>
  <Pages>15</Pages>
  <Words>610</Words>
  <Characters>3477</Characters>
  <Application>Microsoft Office Word</Application>
  <DocSecurity>0</DocSecurity>
  <Lines>28</Lines>
  <Paragraphs>8</Paragraphs>
  <ScaleCrop>false</ScaleCrop>
  <Company>微软中国</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苗向菊</dc:creator>
  <cp:lastModifiedBy>张品</cp:lastModifiedBy>
  <cp:revision>829</cp:revision>
  <cp:lastPrinted>2019-04-24T00:10:00Z</cp:lastPrinted>
  <dcterms:created xsi:type="dcterms:W3CDTF">2013-10-16T02:44:00Z</dcterms:created>
  <dcterms:modified xsi:type="dcterms:W3CDTF">2020-10-22T06:19:00Z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